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1D2F" w14:textId="099FD719" w:rsidR="005550D5" w:rsidRPr="001130E8" w:rsidRDefault="00B4513A" w:rsidP="00B72217">
      <w:pPr>
        <w:jc w:val="center"/>
        <w:rPr>
          <w:b/>
          <w:sz w:val="44"/>
          <w:szCs w:val="44"/>
          <w:lang w:val="pt-BR"/>
        </w:rPr>
      </w:pPr>
      <w:bookmarkStart w:id="0" w:name="_GoBack"/>
      <w:bookmarkEnd w:id="0"/>
      <w:r w:rsidRPr="001130E8">
        <w:rPr>
          <w:b/>
          <w:sz w:val="44"/>
          <w:szCs w:val="44"/>
          <w:lang w:val="pt-BR"/>
        </w:rPr>
        <w:t xml:space="preserve">CARTA DE CUIABÁ: PACTO PELA VALORIZAÇÃO DA FLORESTA E </w:t>
      </w:r>
      <w:r w:rsidR="002574C3" w:rsidRPr="001130E8">
        <w:rPr>
          <w:b/>
          <w:sz w:val="44"/>
          <w:szCs w:val="44"/>
          <w:lang w:val="pt-BR"/>
        </w:rPr>
        <w:t xml:space="preserve">REDUÇÃO </w:t>
      </w:r>
      <w:r w:rsidRPr="001130E8">
        <w:rPr>
          <w:b/>
          <w:sz w:val="44"/>
          <w:szCs w:val="44"/>
          <w:lang w:val="pt-BR"/>
        </w:rPr>
        <w:t xml:space="preserve">DE EMISSÕES DO </w:t>
      </w:r>
      <w:r w:rsidR="002574C3" w:rsidRPr="001130E8">
        <w:rPr>
          <w:b/>
          <w:sz w:val="44"/>
          <w:szCs w:val="44"/>
          <w:lang w:val="pt-BR"/>
        </w:rPr>
        <w:t xml:space="preserve">DESMATAMENTO </w:t>
      </w:r>
      <w:r w:rsidRPr="001130E8">
        <w:rPr>
          <w:b/>
          <w:sz w:val="44"/>
          <w:szCs w:val="44"/>
          <w:lang w:val="pt-BR"/>
        </w:rPr>
        <w:t xml:space="preserve">(REDD+) </w:t>
      </w:r>
      <w:r w:rsidR="002574C3" w:rsidRPr="001130E8">
        <w:rPr>
          <w:b/>
          <w:sz w:val="44"/>
          <w:szCs w:val="44"/>
          <w:lang w:val="pt-BR"/>
        </w:rPr>
        <w:t>NA AMAZÔNIA LEGAL</w:t>
      </w:r>
    </w:p>
    <w:p w14:paraId="6A294E84" w14:textId="77777777" w:rsidR="005550D5" w:rsidRPr="001130E8" w:rsidRDefault="005550D5" w:rsidP="00B231E6">
      <w:pPr>
        <w:rPr>
          <w:sz w:val="52"/>
          <w:szCs w:val="52"/>
          <w:lang w:val="pt-BR"/>
        </w:rPr>
      </w:pPr>
    </w:p>
    <w:p w14:paraId="6C1A14CE" w14:textId="38C971AD" w:rsidR="005550D5" w:rsidRPr="001130E8" w:rsidRDefault="00B72217" w:rsidP="00B72217">
      <w:pPr>
        <w:tabs>
          <w:tab w:val="left" w:pos="1864"/>
        </w:tabs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ab/>
      </w:r>
    </w:p>
    <w:p w14:paraId="269444BD" w14:textId="4AEB3206" w:rsidR="00362D1C" w:rsidRPr="001130E8" w:rsidRDefault="00362D1C" w:rsidP="006B09B9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O Fórum dos Governadores dos Estados da Amazônia Legal, abaixo subscritos, reunidos no dia 29 de maio de 2015, na cidade de Cuiabá – MT, após debates acerca da valorização das florestas e redução de emissões oriundas do desmatamento (REDD+) na Amazônia Legal, tem a manifestar as seguintes considerações e recomendações perante a Presidência da República:</w:t>
      </w:r>
      <w:r w:rsidR="001B55C5" w:rsidRPr="001130E8">
        <w:rPr>
          <w:sz w:val="52"/>
          <w:szCs w:val="52"/>
          <w:lang w:val="pt-BR"/>
        </w:rPr>
        <w:t xml:space="preserve"> </w:t>
      </w:r>
    </w:p>
    <w:p w14:paraId="2715985A" w14:textId="20CA1CB2" w:rsidR="00C573A2" w:rsidRPr="001130E8" w:rsidRDefault="0094478F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Esta carta </w:t>
      </w:r>
      <w:r w:rsidR="009966D3" w:rsidRPr="001130E8">
        <w:rPr>
          <w:sz w:val="52"/>
          <w:szCs w:val="52"/>
          <w:lang w:val="pt-BR"/>
        </w:rPr>
        <w:t xml:space="preserve">apresenta </w:t>
      </w:r>
      <w:r w:rsidRPr="001130E8">
        <w:rPr>
          <w:sz w:val="52"/>
          <w:szCs w:val="52"/>
          <w:lang w:val="pt-BR"/>
        </w:rPr>
        <w:t>subsídios</w:t>
      </w:r>
      <w:r w:rsidR="00B4513A" w:rsidRPr="001130E8">
        <w:rPr>
          <w:sz w:val="52"/>
          <w:szCs w:val="52"/>
          <w:lang w:val="pt-BR"/>
        </w:rPr>
        <w:t xml:space="preserve"> </w:t>
      </w:r>
      <w:r w:rsidRPr="001130E8">
        <w:rPr>
          <w:sz w:val="52"/>
          <w:szCs w:val="52"/>
          <w:lang w:val="pt-BR"/>
        </w:rPr>
        <w:t xml:space="preserve">de uma </w:t>
      </w:r>
      <w:r w:rsidR="00B4513A" w:rsidRPr="001130E8">
        <w:rPr>
          <w:sz w:val="52"/>
          <w:szCs w:val="52"/>
          <w:lang w:val="pt-BR"/>
        </w:rPr>
        <w:t xml:space="preserve">proposta </w:t>
      </w:r>
      <w:r w:rsidRPr="001130E8">
        <w:rPr>
          <w:sz w:val="52"/>
          <w:szCs w:val="52"/>
          <w:lang w:val="pt-BR"/>
        </w:rPr>
        <w:t xml:space="preserve">a ser </w:t>
      </w:r>
      <w:proofErr w:type="gramStart"/>
      <w:r w:rsidRPr="001130E8">
        <w:rPr>
          <w:sz w:val="52"/>
          <w:szCs w:val="52"/>
          <w:lang w:val="pt-BR"/>
        </w:rPr>
        <w:t>implementada</w:t>
      </w:r>
      <w:proofErr w:type="gramEnd"/>
      <w:r w:rsidR="00B4513A" w:rsidRPr="001130E8">
        <w:rPr>
          <w:sz w:val="52"/>
          <w:szCs w:val="52"/>
          <w:lang w:val="pt-BR"/>
        </w:rPr>
        <w:t xml:space="preserve"> entre o</w:t>
      </w:r>
      <w:r w:rsidR="009966D3" w:rsidRPr="001130E8">
        <w:rPr>
          <w:sz w:val="52"/>
          <w:szCs w:val="52"/>
          <w:lang w:val="pt-BR"/>
        </w:rPr>
        <w:t xml:space="preserve">s </w:t>
      </w:r>
      <w:r w:rsidR="00B4513A" w:rsidRPr="001130E8">
        <w:rPr>
          <w:sz w:val="52"/>
          <w:szCs w:val="52"/>
          <w:lang w:val="pt-BR"/>
        </w:rPr>
        <w:t xml:space="preserve">Governos Estaduais de </w:t>
      </w:r>
      <w:r w:rsidR="00D43CC8" w:rsidRPr="001130E8">
        <w:rPr>
          <w:sz w:val="52"/>
          <w:szCs w:val="52"/>
          <w:lang w:val="pt-BR"/>
        </w:rPr>
        <w:t>Mato Grosso, Acre, Amapá, Amazonas, Maranhão, Pará, Rondônia, Roraima, Tocantins</w:t>
      </w:r>
      <w:r w:rsidR="00B4513A" w:rsidRPr="001130E8">
        <w:rPr>
          <w:sz w:val="52"/>
          <w:szCs w:val="52"/>
          <w:lang w:val="pt-BR"/>
        </w:rPr>
        <w:t xml:space="preserve"> e o Governo Federal </w:t>
      </w:r>
      <w:r w:rsidR="009F1A4C" w:rsidRPr="001130E8">
        <w:rPr>
          <w:sz w:val="52"/>
          <w:szCs w:val="52"/>
          <w:lang w:val="pt-BR"/>
        </w:rPr>
        <w:t xml:space="preserve">do Brasil </w:t>
      </w:r>
      <w:r w:rsidR="009966D3" w:rsidRPr="001130E8">
        <w:rPr>
          <w:sz w:val="52"/>
          <w:szCs w:val="52"/>
          <w:lang w:val="pt-BR"/>
        </w:rPr>
        <w:t>para a</w:t>
      </w:r>
      <w:r w:rsidR="009F1A4C" w:rsidRPr="001130E8">
        <w:rPr>
          <w:sz w:val="52"/>
          <w:szCs w:val="52"/>
          <w:lang w:val="pt-BR"/>
        </w:rPr>
        <w:t>umentar a</w:t>
      </w:r>
      <w:r w:rsidR="009966D3" w:rsidRPr="001130E8">
        <w:rPr>
          <w:sz w:val="52"/>
          <w:szCs w:val="52"/>
          <w:lang w:val="pt-BR"/>
        </w:rPr>
        <w:t xml:space="preserve"> </w:t>
      </w:r>
      <w:r w:rsidR="009966D3" w:rsidRPr="001130E8">
        <w:rPr>
          <w:sz w:val="52"/>
          <w:szCs w:val="52"/>
          <w:lang w:val="pt-BR"/>
        </w:rPr>
        <w:lastRenderedPageBreak/>
        <w:t xml:space="preserve">captação de recursos para </w:t>
      </w:r>
      <w:r w:rsidR="009F1A4C" w:rsidRPr="001130E8">
        <w:rPr>
          <w:sz w:val="52"/>
          <w:szCs w:val="52"/>
          <w:lang w:val="pt-BR"/>
        </w:rPr>
        <w:t>a</w:t>
      </w:r>
      <w:r w:rsidR="009966D3" w:rsidRPr="001130E8">
        <w:rPr>
          <w:sz w:val="52"/>
          <w:szCs w:val="52"/>
          <w:lang w:val="pt-BR"/>
        </w:rPr>
        <w:t xml:space="preserve"> redução </w:t>
      </w:r>
      <w:r w:rsidR="009F1A4C" w:rsidRPr="001130E8">
        <w:rPr>
          <w:sz w:val="52"/>
          <w:szCs w:val="52"/>
          <w:lang w:val="pt-BR"/>
        </w:rPr>
        <w:t xml:space="preserve">de emissões do </w:t>
      </w:r>
      <w:r w:rsidR="009966D3" w:rsidRPr="001130E8">
        <w:rPr>
          <w:sz w:val="52"/>
          <w:szCs w:val="52"/>
          <w:lang w:val="pt-BR"/>
        </w:rPr>
        <w:t xml:space="preserve">desmatamento e </w:t>
      </w:r>
      <w:r w:rsidR="009F1A4C" w:rsidRPr="001130E8">
        <w:rPr>
          <w:sz w:val="52"/>
          <w:szCs w:val="52"/>
          <w:lang w:val="pt-BR"/>
        </w:rPr>
        <w:t xml:space="preserve">degradação florestal (REDD+) </w:t>
      </w:r>
      <w:r w:rsidRPr="001130E8">
        <w:rPr>
          <w:sz w:val="52"/>
          <w:szCs w:val="52"/>
          <w:lang w:val="pt-BR"/>
        </w:rPr>
        <w:t xml:space="preserve">e promover o </w:t>
      </w:r>
      <w:r w:rsidR="009966D3" w:rsidRPr="001130E8">
        <w:rPr>
          <w:sz w:val="52"/>
          <w:szCs w:val="52"/>
          <w:lang w:val="pt-BR"/>
        </w:rPr>
        <w:t>desenvolvimento sustentáve</w:t>
      </w:r>
      <w:r w:rsidR="009F1A4C" w:rsidRPr="001130E8">
        <w:rPr>
          <w:sz w:val="52"/>
          <w:szCs w:val="52"/>
          <w:lang w:val="pt-BR"/>
        </w:rPr>
        <w:t>l</w:t>
      </w:r>
      <w:r w:rsidR="009966D3" w:rsidRPr="001130E8">
        <w:rPr>
          <w:sz w:val="52"/>
          <w:szCs w:val="52"/>
          <w:lang w:val="pt-BR"/>
        </w:rPr>
        <w:t xml:space="preserve"> </w:t>
      </w:r>
      <w:r w:rsidRPr="001130E8">
        <w:rPr>
          <w:sz w:val="52"/>
          <w:szCs w:val="52"/>
          <w:lang w:val="pt-BR"/>
        </w:rPr>
        <w:t>na</w:t>
      </w:r>
      <w:r w:rsidR="00C57BFF" w:rsidRPr="001130E8">
        <w:rPr>
          <w:sz w:val="52"/>
          <w:szCs w:val="52"/>
          <w:lang w:val="pt-BR"/>
        </w:rPr>
        <w:t xml:space="preserve"> </w:t>
      </w:r>
      <w:r w:rsidR="009966D3" w:rsidRPr="001130E8">
        <w:rPr>
          <w:sz w:val="52"/>
          <w:szCs w:val="52"/>
          <w:lang w:val="pt-BR"/>
        </w:rPr>
        <w:t>Amazônia Legal</w:t>
      </w:r>
      <w:r w:rsidRPr="001130E8">
        <w:rPr>
          <w:sz w:val="52"/>
          <w:szCs w:val="52"/>
          <w:lang w:val="pt-BR"/>
        </w:rPr>
        <w:t xml:space="preserve"> brasileira</w:t>
      </w:r>
      <w:r w:rsidR="002574C3" w:rsidRPr="001130E8">
        <w:rPr>
          <w:sz w:val="52"/>
          <w:szCs w:val="52"/>
          <w:lang w:val="pt-BR"/>
        </w:rPr>
        <w:t>.</w:t>
      </w:r>
    </w:p>
    <w:p w14:paraId="0CE7F45D" w14:textId="702102F8" w:rsidR="009F747F" w:rsidRPr="001130E8" w:rsidRDefault="0094478F" w:rsidP="00BC1E89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R</w:t>
      </w:r>
      <w:r w:rsidR="003457DF" w:rsidRPr="001130E8">
        <w:rPr>
          <w:sz w:val="52"/>
          <w:szCs w:val="52"/>
          <w:lang w:val="pt-BR"/>
        </w:rPr>
        <w:t>econhecem</w:t>
      </w:r>
      <w:r w:rsidRPr="001130E8">
        <w:rPr>
          <w:sz w:val="52"/>
          <w:szCs w:val="52"/>
          <w:lang w:val="pt-BR"/>
        </w:rPr>
        <w:t>os</w:t>
      </w:r>
      <w:r w:rsidR="003457DF" w:rsidRPr="001130E8">
        <w:rPr>
          <w:sz w:val="52"/>
          <w:szCs w:val="52"/>
          <w:lang w:val="pt-BR"/>
        </w:rPr>
        <w:t xml:space="preserve"> </w:t>
      </w:r>
      <w:r w:rsidR="00015FF7" w:rsidRPr="001130E8">
        <w:rPr>
          <w:sz w:val="52"/>
          <w:szCs w:val="52"/>
          <w:lang w:val="pt-BR"/>
        </w:rPr>
        <w:t xml:space="preserve">o esforço </w:t>
      </w:r>
      <w:r w:rsidR="00EB2C08" w:rsidRPr="001130E8">
        <w:rPr>
          <w:sz w:val="52"/>
          <w:szCs w:val="52"/>
          <w:lang w:val="pt-BR"/>
        </w:rPr>
        <w:t xml:space="preserve">brasileiro </w:t>
      </w:r>
      <w:r w:rsidR="003457DF" w:rsidRPr="001130E8">
        <w:rPr>
          <w:sz w:val="52"/>
          <w:szCs w:val="52"/>
          <w:lang w:val="pt-BR"/>
        </w:rPr>
        <w:t xml:space="preserve">para </w:t>
      </w:r>
      <w:r w:rsidR="00D10845" w:rsidRPr="001130E8">
        <w:rPr>
          <w:sz w:val="52"/>
          <w:szCs w:val="52"/>
          <w:lang w:val="pt-BR"/>
        </w:rPr>
        <w:t>a implementação da Polí</w:t>
      </w:r>
      <w:r w:rsidRPr="001130E8">
        <w:rPr>
          <w:sz w:val="52"/>
          <w:szCs w:val="52"/>
          <w:lang w:val="pt-BR"/>
        </w:rPr>
        <w:t xml:space="preserve">tica Nacional de Mudanças Climáticas e o </w:t>
      </w:r>
      <w:r w:rsidR="003457DF" w:rsidRPr="001130E8">
        <w:rPr>
          <w:sz w:val="52"/>
          <w:szCs w:val="52"/>
          <w:lang w:val="pt-BR"/>
        </w:rPr>
        <w:t xml:space="preserve">atingimento das </w:t>
      </w:r>
      <w:r w:rsidRPr="001130E8">
        <w:rPr>
          <w:sz w:val="52"/>
          <w:szCs w:val="52"/>
          <w:lang w:val="pt-BR"/>
        </w:rPr>
        <w:t xml:space="preserve">metas nacionais de </w:t>
      </w:r>
      <w:r w:rsidR="003457DF" w:rsidRPr="001130E8">
        <w:rPr>
          <w:sz w:val="52"/>
          <w:szCs w:val="52"/>
          <w:lang w:val="pt-BR"/>
        </w:rPr>
        <w:t>reduções d</w:t>
      </w:r>
      <w:r w:rsidRPr="001130E8">
        <w:rPr>
          <w:sz w:val="52"/>
          <w:szCs w:val="52"/>
          <w:lang w:val="pt-BR"/>
        </w:rPr>
        <w:t>e emissões</w:t>
      </w:r>
      <w:r w:rsidR="001C7E92" w:rsidRPr="001130E8">
        <w:rPr>
          <w:sz w:val="52"/>
          <w:szCs w:val="52"/>
          <w:lang w:val="pt-BR"/>
        </w:rPr>
        <w:t xml:space="preserve"> de gases do efeito estufa</w:t>
      </w:r>
      <w:r w:rsidR="003457DF" w:rsidRPr="001130E8">
        <w:rPr>
          <w:sz w:val="52"/>
          <w:szCs w:val="52"/>
          <w:lang w:val="pt-BR"/>
        </w:rPr>
        <w:t xml:space="preserve"> </w:t>
      </w:r>
      <w:r w:rsidR="001C7E92" w:rsidRPr="001130E8">
        <w:rPr>
          <w:sz w:val="52"/>
          <w:szCs w:val="52"/>
          <w:lang w:val="pt-BR"/>
        </w:rPr>
        <w:t>da ordem de 36 a 38%, das quais a redução do desmatamento na Amazônia</w:t>
      </w:r>
      <w:r w:rsidR="00015FF7" w:rsidRPr="001130E8">
        <w:rPr>
          <w:sz w:val="52"/>
          <w:szCs w:val="52"/>
          <w:lang w:val="pt-BR"/>
        </w:rPr>
        <w:t xml:space="preserve">, através </w:t>
      </w:r>
      <w:r w:rsidR="00EB2C08" w:rsidRPr="001130E8">
        <w:rPr>
          <w:sz w:val="52"/>
          <w:szCs w:val="52"/>
          <w:lang w:val="pt-BR"/>
        </w:rPr>
        <w:t xml:space="preserve">da implementação </w:t>
      </w:r>
      <w:r w:rsidR="00F56A36" w:rsidRPr="001130E8">
        <w:rPr>
          <w:sz w:val="52"/>
          <w:szCs w:val="52"/>
          <w:lang w:val="pt-BR"/>
        </w:rPr>
        <w:t>dos Planos Federal e Estaduais de Prevenção e Controle ao Desmatamento - PPCD</w:t>
      </w:r>
      <w:proofErr w:type="gramStart"/>
      <w:r w:rsidR="00015FF7" w:rsidRPr="001130E8">
        <w:rPr>
          <w:sz w:val="52"/>
          <w:szCs w:val="52"/>
          <w:lang w:val="pt-BR"/>
        </w:rPr>
        <w:t>,</w:t>
      </w:r>
      <w:r w:rsidR="001C7E92" w:rsidRPr="001130E8">
        <w:rPr>
          <w:sz w:val="52"/>
          <w:szCs w:val="52"/>
          <w:lang w:val="pt-BR"/>
        </w:rPr>
        <w:t xml:space="preserve"> possui</w:t>
      </w:r>
      <w:proofErr w:type="gramEnd"/>
      <w:r w:rsidR="001C7E92" w:rsidRPr="001130E8">
        <w:rPr>
          <w:sz w:val="52"/>
          <w:szCs w:val="52"/>
          <w:lang w:val="pt-BR"/>
        </w:rPr>
        <w:t xml:space="preserve"> papel fundamental. </w:t>
      </w:r>
      <w:r w:rsidR="003457DF" w:rsidRPr="001130E8">
        <w:rPr>
          <w:sz w:val="52"/>
          <w:szCs w:val="52"/>
          <w:lang w:val="pt-BR"/>
        </w:rPr>
        <w:t>Reconhecem</w:t>
      </w:r>
      <w:r w:rsidR="001C7E92" w:rsidRPr="001130E8">
        <w:rPr>
          <w:sz w:val="52"/>
          <w:szCs w:val="52"/>
          <w:lang w:val="pt-BR"/>
        </w:rPr>
        <w:t>os</w:t>
      </w:r>
      <w:r w:rsidR="003457DF" w:rsidRPr="001130E8">
        <w:rPr>
          <w:sz w:val="52"/>
          <w:szCs w:val="52"/>
          <w:lang w:val="pt-BR"/>
        </w:rPr>
        <w:t xml:space="preserve"> também a importância do </w:t>
      </w:r>
      <w:proofErr w:type="gramStart"/>
      <w:r w:rsidR="003457DF" w:rsidRPr="001130E8">
        <w:rPr>
          <w:sz w:val="52"/>
          <w:szCs w:val="52"/>
          <w:lang w:val="pt-BR"/>
        </w:rPr>
        <w:t>Fundo Amazônia</w:t>
      </w:r>
      <w:proofErr w:type="gramEnd"/>
      <w:r w:rsidR="003457DF" w:rsidRPr="001130E8">
        <w:rPr>
          <w:sz w:val="52"/>
          <w:szCs w:val="52"/>
          <w:lang w:val="pt-BR"/>
        </w:rPr>
        <w:t xml:space="preserve"> na captação e distribuição de recursos financeiros para execução de atividades que conduzam à redução do desmatamento.</w:t>
      </w:r>
    </w:p>
    <w:p w14:paraId="723CB880" w14:textId="11CA958B" w:rsidR="00606D6F" w:rsidRPr="001130E8" w:rsidRDefault="00213B53" w:rsidP="00BC1E89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lastRenderedPageBreak/>
        <w:t>E</w:t>
      </w:r>
      <w:r w:rsidR="00C57BFF" w:rsidRPr="001130E8">
        <w:rPr>
          <w:sz w:val="52"/>
          <w:szCs w:val="52"/>
          <w:lang w:val="pt-BR"/>
        </w:rPr>
        <w:t>m consonância</w:t>
      </w:r>
      <w:r w:rsidR="00BC1E89" w:rsidRPr="001130E8">
        <w:rPr>
          <w:sz w:val="52"/>
          <w:szCs w:val="52"/>
          <w:lang w:val="pt-BR"/>
        </w:rPr>
        <w:t xml:space="preserve"> com o Decreto Federal 7.390/2010, e</w:t>
      </w:r>
      <w:r w:rsidR="003457DF" w:rsidRPr="001130E8">
        <w:rPr>
          <w:sz w:val="52"/>
          <w:szCs w:val="52"/>
          <w:lang w:val="pt-BR"/>
        </w:rPr>
        <w:t>ntre os anos de 200</w:t>
      </w:r>
      <w:r w:rsidR="00245D68" w:rsidRPr="001130E8">
        <w:rPr>
          <w:sz w:val="52"/>
          <w:szCs w:val="52"/>
          <w:lang w:val="pt-BR"/>
        </w:rPr>
        <w:t>6</w:t>
      </w:r>
      <w:r w:rsidR="003457DF" w:rsidRPr="001130E8">
        <w:rPr>
          <w:sz w:val="52"/>
          <w:szCs w:val="52"/>
          <w:lang w:val="pt-BR"/>
        </w:rPr>
        <w:t xml:space="preserve"> e 2013, </w:t>
      </w:r>
      <w:r w:rsidR="00245D68" w:rsidRPr="001130E8">
        <w:rPr>
          <w:sz w:val="52"/>
          <w:szCs w:val="52"/>
          <w:lang w:val="pt-BR"/>
        </w:rPr>
        <w:t>foi verificada uma redução do desmatamento de 8</w:t>
      </w:r>
      <w:r w:rsidR="00AF3D76" w:rsidRPr="001130E8">
        <w:rPr>
          <w:sz w:val="52"/>
          <w:szCs w:val="52"/>
          <w:lang w:val="pt-BR"/>
        </w:rPr>
        <w:t xml:space="preserve">,7 milhões de </w:t>
      </w:r>
      <w:r w:rsidR="00245D68" w:rsidRPr="001130E8">
        <w:rPr>
          <w:sz w:val="52"/>
          <w:szCs w:val="52"/>
          <w:lang w:val="pt-BR"/>
        </w:rPr>
        <w:t xml:space="preserve">hectares, </w:t>
      </w:r>
      <w:r w:rsidR="00BC1E89" w:rsidRPr="001130E8">
        <w:rPr>
          <w:sz w:val="52"/>
          <w:szCs w:val="52"/>
          <w:lang w:val="pt-BR"/>
        </w:rPr>
        <w:t xml:space="preserve">correspondente a </w:t>
      </w:r>
      <w:r w:rsidR="00245D68" w:rsidRPr="001130E8">
        <w:rPr>
          <w:sz w:val="52"/>
          <w:szCs w:val="52"/>
          <w:lang w:val="pt-BR"/>
        </w:rPr>
        <w:t>4</w:t>
      </w:r>
      <w:r w:rsidR="00AF3D76" w:rsidRPr="001130E8">
        <w:rPr>
          <w:sz w:val="52"/>
          <w:szCs w:val="52"/>
          <w:lang w:val="pt-BR"/>
        </w:rPr>
        <w:t xml:space="preserve">,2 bilhões de </w:t>
      </w:r>
      <w:r w:rsidR="00245D68" w:rsidRPr="001130E8">
        <w:rPr>
          <w:sz w:val="52"/>
          <w:szCs w:val="52"/>
          <w:lang w:val="pt-BR"/>
        </w:rPr>
        <w:t xml:space="preserve">toneladas de gás carbônico carbono </w:t>
      </w:r>
      <w:r w:rsidR="002012AB" w:rsidRPr="001130E8">
        <w:rPr>
          <w:sz w:val="52"/>
          <w:szCs w:val="52"/>
          <w:lang w:val="pt-BR"/>
        </w:rPr>
        <w:t>(</w:t>
      </w:r>
      <w:proofErr w:type="gramStart"/>
      <w:r w:rsidR="002012AB" w:rsidRPr="001130E8">
        <w:rPr>
          <w:sz w:val="52"/>
          <w:szCs w:val="52"/>
          <w:lang w:val="pt-BR"/>
        </w:rPr>
        <w:t>tCO</w:t>
      </w:r>
      <w:r w:rsidR="002012AB" w:rsidRPr="001130E8">
        <w:rPr>
          <w:sz w:val="52"/>
          <w:szCs w:val="52"/>
          <w:vertAlign w:val="subscript"/>
          <w:lang w:val="pt-BR"/>
        </w:rPr>
        <w:t>2</w:t>
      </w:r>
      <w:proofErr w:type="gramEnd"/>
      <w:r w:rsidR="002012AB" w:rsidRPr="001130E8">
        <w:rPr>
          <w:sz w:val="52"/>
          <w:szCs w:val="52"/>
          <w:lang w:val="pt-BR"/>
        </w:rPr>
        <w:t xml:space="preserve">) </w:t>
      </w:r>
      <w:r w:rsidR="00BC1E89" w:rsidRPr="001130E8">
        <w:rPr>
          <w:sz w:val="52"/>
          <w:szCs w:val="52"/>
          <w:lang w:val="pt-BR"/>
        </w:rPr>
        <w:t xml:space="preserve">que </w:t>
      </w:r>
      <w:r w:rsidR="00245D68" w:rsidRPr="001130E8">
        <w:rPr>
          <w:sz w:val="52"/>
          <w:szCs w:val="52"/>
          <w:lang w:val="pt-BR"/>
        </w:rPr>
        <w:t>deixaram de ser emitidas para a atmosfera</w:t>
      </w:r>
      <w:r w:rsidR="00245D68" w:rsidRPr="001130E8">
        <w:rPr>
          <w:rStyle w:val="Refdenotaderodap"/>
          <w:sz w:val="52"/>
          <w:szCs w:val="52"/>
          <w:lang w:val="pt-BR"/>
        </w:rPr>
        <w:footnoteReference w:id="1"/>
      </w:r>
      <w:r w:rsidR="00245D68" w:rsidRPr="001130E8">
        <w:rPr>
          <w:sz w:val="52"/>
          <w:szCs w:val="52"/>
          <w:lang w:val="pt-BR"/>
        </w:rPr>
        <w:t xml:space="preserve">. </w:t>
      </w:r>
      <w:r w:rsidR="00606D6F" w:rsidRPr="001130E8">
        <w:rPr>
          <w:sz w:val="52"/>
          <w:szCs w:val="52"/>
          <w:lang w:val="pt-BR"/>
        </w:rPr>
        <w:t>Essa marca supera a redução de qualquer país</w:t>
      </w:r>
      <w:r w:rsidR="00AF3D76" w:rsidRPr="001130E8">
        <w:rPr>
          <w:sz w:val="52"/>
          <w:szCs w:val="52"/>
          <w:lang w:val="pt-BR"/>
        </w:rPr>
        <w:t>,</w:t>
      </w:r>
      <w:r w:rsidR="00606D6F" w:rsidRPr="001130E8">
        <w:rPr>
          <w:sz w:val="52"/>
          <w:szCs w:val="52"/>
          <w:lang w:val="pt-BR"/>
        </w:rPr>
        <w:t xml:space="preserve"> desenvolvido ou em desenvolvimento, com ou sem metas obrigatórias. Atingir essas reduções custa caro e, atualmente, esses custos estão sendo pagos </w:t>
      </w:r>
      <w:r w:rsidR="00BC1E89" w:rsidRPr="001130E8">
        <w:rPr>
          <w:sz w:val="52"/>
          <w:szCs w:val="52"/>
          <w:lang w:val="pt-BR"/>
        </w:rPr>
        <w:t xml:space="preserve">quase que unicamente com orçamento público dos governos </w:t>
      </w:r>
      <w:r w:rsidR="00AF3D76" w:rsidRPr="001130E8">
        <w:rPr>
          <w:sz w:val="52"/>
          <w:szCs w:val="52"/>
          <w:lang w:val="pt-BR"/>
        </w:rPr>
        <w:t xml:space="preserve">municipais, </w:t>
      </w:r>
      <w:r w:rsidR="00BC1E89" w:rsidRPr="001130E8">
        <w:rPr>
          <w:sz w:val="52"/>
          <w:szCs w:val="52"/>
          <w:lang w:val="pt-BR"/>
        </w:rPr>
        <w:t xml:space="preserve">estaduais e </w:t>
      </w:r>
      <w:r w:rsidR="00606D6F" w:rsidRPr="001130E8">
        <w:rPr>
          <w:sz w:val="52"/>
          <w:szCs w:val="52"/>
          <w:lang w:val="pt-BR"/>
        </w:rPr>
        <w:t xml:space="preserve">federal, </w:t>
      </w:r>
      <w:r w:rsidR="00BC1E89" w:rsidRPr="001130E8">
        <w:rPr>
          <w:sz w:val="52"/>
          <w:szCs w:val="52"/>
          <w:lang w:val="pt-BR"/>
        </w:rPr>
        <w:t xml:space="preserve">além de esforços individuais de </w:t>
      </w:r>
      <w:r w:rsidR="00606D6F" w:rsidRPr="001130E8">
        <w:rPr>
          <w:sz w:val="52"/>
          <w:szCs w:val="52"/>
          <w:lang w:val="pt-BR"/>
        </w:rPr>
        <w:t>produtores rurais, comunidades tradicionais e povos indígenas</w:t>
      </w:r>
      <w:r w:rsidR="00BC1E89" w:rsidRPr="001130E8">
        <w:rPr>
          <w:sz w:val="52"/>
          <w:szCs w:val="52"/>
          <w:lang w:val="pt-BR"/>
        </w:rPr>
        <w:t xml:space="preserve"> de nossa região amazônica</w:t>
      </w:r>
      <w:r w:rsidR="00606D6F" w:rsidRPr="001130E8">
        <w:rPr>
          <w:sz w:val="52"/>
          <w:szCs w:val="52"/>
          <w:lang w:val="pt-BR"/>
        </w:rPr>
        <w:t xml:space="preserve">. </w:t>
      </w:r>
    </w:p>
    <w:p w14:paraId="306B303B" w14:textId="62CF649D" w:rsidR="0073117A" w:rsidRPr="001130E8" w:rsidRDefault="00BC1E89" w:rsidP="001C7E92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lastRenderedPageBreak/>
        <w:t>No entanto</w:t>
      </w:r>
      <w:r w:rsidR="001C7E92" w:rsidRPr="001130E8">
        <w:rPr>
          <w:sz w:val="52"/>
          <w:szCs w:val="52"/>
          <w:lang w:val="pt-BR"/>
        </w:rPr>
        <w:t xml:space="preserve">, </w:t>
      </w:r>
      <w:r w:rsidR="008A63BE" w:rsidRPr="001130E8">
        <w:rPr>
          <w:sz w:val="52"/>
          <w:szCs w:val="52"/>
          <w:lang w:val="pt-BR"/>
        </w:rPr>
        <w:t xml:space="preserve">já atingimos </w:t>
      </w:r>
      <w:r w:rsidR="0073117A" w:rsidRPr="001130E8">
        <w:rPr>
          <w:sz w:val="52"/>
          <w:szCs w:val="52"/>
          <w:lang w:val="pt-BR"/>
        </w:rPr>
        <w:t>o</w:t>
      </w:r>
      <w:r w:rsidRPr="001130E8">
        <w:rPr>
          <w:sz w:val="52"/>
          <w:szCs w:val="52"/>
          <w:lang w:val="pt-BR"/>
        </w:rPr>
        <w:t xml:space="preserve"> limite </w:t>
      </w:r>
      <w:r w:rsidR="0073117A" w:rsidRPr="001130E8">
        <w:rPr>
          <w:sz w:val="52"/>
          <w:szCs w:val="52"/>
          <w:lang w:val="pt-BR"/>
        </w:rPr>
        <w:t xml:space="preserve">máximo </w:t>
      </w:r>
      <w:r w:rsidRPr="001130E8">
        <w:rPr>
          <w:sz w:val="52"/>
          <w:szCs w:val="52"/>
          <w:lang w:val="pt-BR"/>
        </w:rPr>
        <w:t>em nossa capacidade de investimento</w:t>
      </w:r>
      <w:r w:rsidR="0073117A" w:rsidRPr="001130E8">
        <w:rPr>
          <w:sz w:val="52"/>
          <w:szCs w:val="52"/>
          <w:lang w:val="pt-BR"/>
        </w:rPr>
        <w:t xml:space="preserve"> orçamentário, particularmente no atual momento da economia brasileira.</w:t>
      </w:r>
      <w:r w:rsidR="001C7E92" w:rsidRPr="001130E8">
        <w:rPr>
          <w:sz w:val="52"/>
          <w:szCs w:val="52"/>
          <w:lang w:val="pt-BR"/>
        </w:rPr>
        <w:t xml:space="preserve"> </w:t>
      </w:r>
      <w:r w:rsidR="0073117A" w:rsidRPr="001130E8">
        <w:rPr>
          <w:sz w:val="52"/>
          <w:szCs w:val="52"/>
          <w:lang w:val="pt-BR"/>
        </w:rPr>
        <w:t xml:space="preserve"> A lógica de criação do </w:t>
      </w:r>
      <w:proofErr w:type="gramStart"/>
      <w:r w:rsidR="0073117A" w:rsidRPr="001130E8">
        <w:rPr>
          <w:sz w:val="52"/>
          <w:szCs w:val="52"/>
          <w:lang w:val="pt-BR"/>
        </w:rPr>
        <w:t>Fundo Amazônia</w:t>
      </w:r>
      <w:proofErr w:type="gramEnd"/>
      <w:r w:rsidR="0073117A" w:rsidRPr="001130E8">
        <w:rPr>
          <w:sz w:val="52"/>
          <w:szCs w:val="52"/>
          <w:lang w:val="pt-BR"/>
        </w:rPr>
        <w:t xml:space="preserve"> foi </w:t>
      </w:r>
      <w:r w:rsidR="004D3596" w:rsidRPr="001130E8">
        <w:rPr>
          <w:sz w:val="52"/>
          <w:szCs w:val="52"/>
          <w:lang w:val="pt-BR"/>
        </w:rPr>
        <w:t>a</w:t>
      </w:r>
      <w:r w:rsidR="0073117A" w:rsidRPr="001130E8">
        <w:rPr>
          <w:sz w:val="52"/>
          <w:szCs w:val="52"/>
          <w:lang w:val="pt-BR"/>
        </w:rPr>
        <w:t xml:space="preserve"> captação de recursos através do mecanismo de REDD+, </w:t>
      </w:r>
      <w:r w:rsidR="004D3596" w:rsidRPr="001130E8">
        <w:rPr>
          <w:sz w:val="52"/>
          <w:szCs w:val="52"/>
          <w:lang w:val="pt-BR"/>
        </w:rPr>
        <w:t>para</w:t>
      </w:r>
      <w:r w:rsidR="0073117A" w:rsidRPr="001130E8">
        <w:rPr>
          <w:sz w:val="52"/>
          <w:szCs w:val="52"/>
          <w:lang w:val="pt-BR"/>
        </w:rPr>
        <w:t xml:space="preserve"> compensar resultad</w:t>
      </w:r>
      <w:r w:rsidR="004D3596" w:rsidRPr="001130E8">
        <w:rPr>
          <w:sz w:val="52"/>
          <w:szCs w:val="52"/>
          <w:lang w:val="pt-BR"/>
        </w:rPr>
        <w:t>o</w:t>
      </w:r>
      <w:r w:rsidR="0073117A" w:rsidRPr="001130E8">
        <w:rPr>
          <w:sz w:val="52"/>
          <w:szCs w:val="52"/>
          <w:lang w:val="pt-BR"/>
        </w:rPr>
        <w:t xml:space="preserve">s </w:t>
      </w:r>
      <w:r w:rsidR="004D3596" w:rsidRPr="001130E8">
        <w:rPr>
          <w:sz w:val="52"/>
          <w:szCs w:val="52"/>
          <w:lang w:val="pt-BR"/>
        </w:rPr>
        <w:t>positivos em</w:t>
      </w:r>
      <w:r w:rsidR="0073117A" w:rsidRPr="001130E8">
        <w:rPr>
          <w:sz w:val="52"/>
          <w:szCs w:val="52"/>
          <w:lang w:val="pt-BR"/>
        </w:rPr>
        <w:t xml:space="preserve"> reduç</w:t>
      </w:r>
      <w:r w:rsidR="004D3596" w:rsidRPr="001130E8">
        <w:rPr>
          <w:sz w:val="52"/>
          <w:szCs w:val="52"/>
          <w:lang w:val="pt-BR"/>
        </w:rPr>
        <w:t>ões de emissões por países em desenvolvimento.</w:t>
      </w:r>
      <w:r w:rsidR="0073117A" w:rsidRPr="001130E8">
        <w:rPr>
          <w:sz w:val="52"/>
          <w:szCs w:val="52"/>
          <w:lang w:val="pt-BR"/>
        </w:rPr>
        <w:t xml:space="preserve"> </w:t>
      </w:r>
    </w:p>
    <w:p w14:paraId="66633249" w14:textId="6488D2ED" w:rsidR="00FB4360" w:rsidRPr="001130E8" w:rsidRDefault="00FB4360" w:rsidP="00FB4360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Até o momento, o Fundo firmou contratos para recebimento de recursos </w:t>
      </w:r>
      <w:proofErr w:type="gramStart"/>
      <w:r w:rsidRPr="001130E8">
        <w:rPr>
          <w:sz w:val="52"/>
          <w:szCs w:val="52"/>
          <w:lang w:val="pt-BR"/>
        </w:rPr>
        <w:t>não-reembolsáveis</w:t>
      </w:r>
      <w:proofErr w:type="gramEnd"/>
      <w:r w:rsidRPr="001130E8">
        <w:rPr>
          <w:sz w:val="52"/>
          <w:szCs w:val="52"/>
          <w:lang w:val="pt-BR"/>
        </w:rPr>
        <w:t xml:space="preserve"> com base em REDD+ da ordem de U$S </w:t>
      </w:r>
      <w:r w:rsidR="001130E8" w:rsidRPr="001130E8">
        <w:rPr>
          <w:sz w:val="52"/>
          <w:szCs w:val="52"/>
          <w:lang w:val="pt-BR"/>
        </w:rPr>
        <w:t>1 bilhão</w:t>
      </w:r>
      <w:r w:rsidRPr="001130E8">
        <w:rPr>
          <w:sz w:val="52"/>
          <w:szCs w:val="52"/>
          <w:lang w:val="pt-BR"/>
        </w:rPr>
        <w:t xml:space="preserve">. Os investimentos estão sendo feitos pelo o Governo da Noruega, Governo da Alemanha e a </w:t>
      </w:r>
      <w:proofErr w:type="gramStart"/>
      <w:r w:rsidRPr="001130E8">
        <w:rPr>
          <w:sz w:val="52"/>
          <w:szCs w:val="52"/>
          <w:lang w:val="pt-BR"/>
        </w:rPr>
        <w:t>Petrobrás .</w:t>
      </w:r>
      <w:proofErr w:type="gramEnd"/>
      <w:r w:rsidRPr="001130E8">
        <w:rPr>
          <w:sz w:val="52"/>
          <w:szCs w:val="52"/>
          <w:lang w:val="pt-BR"/>
        </w:rPr>
        <w:t xml:space="preserve"> O principal doador é o Governo da Noruega, que se comprometeu a doar U$S </w:t>
      </w:r>
      <w:proofErr w:type="gramStart"/>
      <w:r w:rsidRPr="001130E8">
        <w:rPr>
          <w:sz w:val="52"/>
          <w:szCs w:val="52"/>
          <w:lang w:val="pt-BR"/>
        </w:rPr>
        <w:t>1</w:t>
      </w:r>
      <w:proofErr w:type="gramEnd"/>
      <w:r w:rsidRPr="001130E8">
        <w:rPr>
          <w:sz w:val="52"/>
          <w:szCs w:val="52"/>
          <w:lang w:val="pt-BR"/>
        </w:rPr>
        <w:t xml:space="preserve"> bilhão até 2015 e, deste montante, já desembolsou U$S 882</w:t>
      </w:r>
      <w:r w:rsidR="001130E8" w:rsidRPr="001130E8">
        <w:rPr>
          <w:sz w:val="52"/>
          <w:szCs w:val="52"/>
          <w:lang w:val="pt-BR"/>
        </w:rPr>
        <w:t xml:space="preserve"> milhões</w:t>
      </w:r>
      <w:r w:rsidRPr="001130E8">
        <w:rPr>
          <w:sz w:val="52"/>
          <w:szCs w:val="52"/>
          <w:lang w:val="pt-BR"/>
        </w:rPr>
        <w:t xml:space="preserve">. Esses contratos foram negociados a um valor de U$ 5,00, ou cerca de R$15,00, por tonelada de gás </w:t>
      </w:r>
      <w:r w:rsidRPr="001130E8">
        <w:rPr>
          <w:sz w:val="52"/>
          <w:szCs w:val="52"/>
          <w:lang w:val="pt-BR"/>
        </w:rPr>
        <w:lastRenderedPageBreak/>
        <w:t>carbônico (</w:t>
      </w:r>
      <w:proofErr w:type="gramStart"/>
      <w:r w:rsidRPr="001130E8">
        <w:rPr>
          <w:sz w:val="52"/>
          <w:szCs w:val="52"/>
          <w:lang w:val="pt-BR"/>
        </w:rPr>
        <w:t>tCo2</w:t>
      </w:r>
      <w:proofErr w:type="gramEnd"/>
      <w:r w:rsidRPr="001130E8">
        <w:rPr>
          <w:sz w:val="52"/>
          <w:szCs w:val="52"/>
          <w:lang w:val="pt-BR"/>
        </w:rPr>
        <w:t>). Ou seja, a soma de todos os contratos representa o pagamento/compensação de cerca de 206</w:t>
      </w:r>
      <w:r w:rsidR="001130E8" w:rsidRPr="001130E8">
        <w:rPr>
          <w:sz w:val="52"/>
          <w:szCs w:val="52"/>
          <w:lang w:val="pt-BR"/>
        </w:rPr>
        <w:t xml:space="preserve"> milhões de</w:t>
      </w:r>
      <w:r w:rsidRPr="001130E8">
        <w:rPr>
          <w:sz w:val="52"/>
          <w:szCs w:val="52"/>
          <w:lang w:val="pt-BR"/>
        </w:rPr>
        <w:t xml:space="preserve"> </w:t>
      </w:r>
      <w:proofErr w:type="gramStart"/>
      <w:r w:rsidRPr="001130E8">
        <w:rPr>
          <w:sz w:val="52"/>
          <w:szCs w:val="52"/>
          <w:lang w:val="pt-BR"/>
        </w:rPr>
        <w:t>tCO2</w:t>
      </w:r>
      <w:proofErr w:type="gramEnd"/>
      <w:r w:rsidRPr="001130E8">
        <w:rPr>
          <w:sz w:val="52"/>
          <w:szCs w:val="52"/>
          <w:lang w:val="pt-BR"/>
        </w:rPr>
        <w:t xml:space="preserve">, equivalente a 4,9% do total de REDD+ gerado na Amazônia nesse período.  </w:t>
      </w:r>
    </w:p>
    <w:p w14:paraId="0F16A473" w14:textId="3CC368A0" w:rsidR="00DB3054" w:rsidRPr="001130E8" w:rsidRDefault="008A63BE" w:rsidP="00832357">
      <w:pPr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Assim,</w:t>
      </w:r>
      <w:r w:rsidR="000B16F7" w:rsidRPr="001130E8">
        <w:rPr>
          <w:sz w:val="52"/>
          <w:szCs w:val="52"/>
          <w:lang w:val="pt-BR"/>
        </w:rPr>
        <w:t xml:space="preserve"> </w:t>
      </w:r>
      <w:r w:rsidRPr="001130E8">
        <w:rPr>
          <w:sz w:val="52"/>
          <w:szCs w:val="52"/>
          <w:lang w:val="pt-BR"/>
        </w:rPr>
        <w:t xml:space="preserve">constatamos que </w:t>
      </w:r>
      <w:r w:rsidR="000B16F7" w:rsidRPr="001130E8">
        <w:rPr>
          <w:sz w:val="52"/>
          <w:szCs w:val="52"/>
          <w:lang w:val="pt-BR"/>
        </w:rPr>
        <w:t>há um enorme potencial de recebimento por resultados a ser explorado. Ou seja, se considerarmos a captação de recursos em condições similares (R$15/</w:t>
      </w:r>
      <w:proofErr w:type="gramStart"/>
      <w:r w:rsidR="000B16F7" w:rsidRPr="001130E8">
        <w:rPr>
          <w:sz w:val="52"/>
          <w:szCs w:val="52"/>
          <w:lang w:val="pt-BR"/>
        </w:rPr>
        <w:t>tCO</w:t>
      </w:r>
      <w:r w:rsidR="000B16F7" w:rsidRPr="001130E8">
        <w:rPr>
          <w:sz w:val="52"/>
          <w:szCs w:val="52"/>
          <w:vertAlign w:val="subscript"/>
          <w:lang w:val="pt-BR"/>
        </w:rPr>
        <w:t>2</w:t>
      </w:r>
      <w:proofErr w:type="gramEnd"/>
      <w:r w:rsidR="000B16F7" w:rsidRPr="001130E8">
        <w:rPr>
          <w:sz w:val="52"/>
          <w:szCs w:val="52"/>
          <w:lang w:val="pt-BR"/>
        </w:rPr>
        <w:t xml:space="preserve">) pelos </w:t>
      </w:r>
      <w:r w:rsidR="00FB4360" w:rsidRPr="001130E8">
        <w:rPr>
          <w:sz w:val="52"/>
          <w:szCs w:val="52"/>
          <w:lang w:val="pt-BR"/>
        </w:rPr>
        <w:t>95%</w:t>
      </w:r>
      <w:r w:rsidR="000B16F7" w:rsidRPr="001130E8">
        <w:rPr>
          <w:sz w:val="52"/>
          <w:szCs w:val="52"/>
          <w:lang w:val="pt-BR"/>
        </w:rPr>
        <w:t xml:space="preserve"> que ainda não foram capitalizados, podemos estimar um potencial de captação da ordem de R$ 61 bilhões de reais, somente com base no REDD+ que já foi gerado. Se conseguirmos</w:t>
      </w:r>
      <w:r w:rsidRPr="001130E8">
        <w:rPr>
          <w:sz w:val="52"/>
          <w:szCs w:val="52"/>
          <w:lang w:val="pt-BR"/>
        </w:rPr>
        <w:t xml:space="preserve"> atingir</w:t>
      </w:r>
      <w:r w:rsidR="000B16F7" w:rsidRPr="001130E8">
        <w:rPr>
          <w:sz w:val="52"/>
          <w:szCs w:val="52"/>
          <w:lang w:val="pt-BR"/>
        </w:rPr>
        <w:t xml:space="preserve"> a meta de reduzir 80% o desmatamento na Amazônia até 2020, devemos gerar a redução de aproximadamente mais </w:t>
      </w:r>
      <w:proofErr w:type="gramStart"/>
      <w:r w:rsidR="000B16F7" w:rsidRPr="001130E8">
        <w:rPr>
          <w:sz w:val="52"/>
          <w:szCs w:val="52"/>
          <w:lang w:val="pt-BR"/>
        </w:rPr>
        <w:t>5</w:t>
      </w:r>
      <w:proofErr w:type="gramEnd"/>
      <w:r w:rsidR="000B16F7" w:rsidRPr="001130E8">
        <w:rPr>
          <w:sz w:val="52"/>
          <w:szCs w:val="52"/>
          <w:lang w:val="pt-BR"/>
        </w:rPr>
        <w:t xml:space="preserve"> bilhões de tCO</w:t>
      </w:r>
      <w:r w:rsidR="000B16F7" w:rsidRPr="001130E8">
        <w:rPr>
          <w:sz w:val="52"/>
          <w:szCs w:val="52"/>
          <w:vertAlign w:val="subscript"/>
          <w:lang w:val="pt-BR"/>
        </w:rPr>
        <w:t>2</w:t>
      </w:r>
      <w:r w:rsidR="000B16F7" w:rsidRPr="001130E8">
        <w:rPr>
          <w:sz w:val="52"/>
          <w:szCs w:val="52"/>
          <w:lang w:val="pt-BR"/>
        </w:rPr>
        <w:t xml:space="preserve"> adicionais, totalizando cerca de R$ 135 bilhões até 2020.</w:t>
      </w:r>
    </w:p>
    <w:p w14:paraId="1BB32B9D" w14:textId="319E89B9" w:rsidR="002012AB" w:rsidRPr="001130E8" w:rsidRDefault="00E36267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Nós e</w:t>
      </w:r>
      <w:r w:rsidR="00031EB1" w:rsidRPr="001130E8">
        <w:rPr>
          <w:sz w:val="52"/>
          <w:szCs w:val="52"/>
          <w:lang w:val="pt-BR"/>
        </w:rPr>
        <w:t xml:space="preserve">ntendemos que </w:t>
      </w:r>
      <w:r w:rsidRPr="001130E8">
        <w:rPr>
          <w:sz w:val="52"/>
          <w:szCs w:val="52"/>
          <w:lang w:val="pt-BR"/>
        </w:rPr>
        <w:t xml:space="preserve">a captação de recursos para atingir esse potencial deve vir de um esforço </w:t>
      </w:r>
      <w:r w:rsidRPr="001130E8">
        <w:rPr>
          <w:sz w:val="52"/>
          <w:szCs w:val="52"/>
          <w:lang w:val="pt-BR"/>
        </w:rPr>
        <w:lastRenderedPageBreak/>
        <w:t>conjunto entre Estados e União, para maximizar nossas chances de sucesso e</w:t>
      </w:r>
      <w:r w:rsidR="002012AB" w:rsidRPr="001130E8">
        <w:rPr>
          <w:sz w:val="52"/>
          <w:szCs w:val="52"/>
          <w:lang w:val="pt-BR"/>
        </w:rPr>
        <w:t xml:space="preserve"> novas parcerias e </w:t>
      </w:r>
      <w:r w:rsidR="00DF42F4" w:rsidRPr="001130E8">
        <w:rPr>
          <w:sz w:val="52"/>
          <w:szCs w:val="52"/>
          <w:lang w:val="pt-BR"/>
        </w:rPr>
        <w:t xml:space="preserve">meios de receber recompensas financeiras por </w:t>
      </w:r>
      <w:r w:rsidRPr="001130E8">
        <w:rPr>
          <w:sz w:val="52"/>
          <w:szCs w:val="52"/>
          <w:lang w:val="pt-BR"/>
        </w:rPr>
        <w:t xml:space="preserve">nossos </w:t>
      </w:r>
      <w:r w:rsidR="00DF42F4" w:rsidRPr="001130E8">
        <w:rPr>
          <w:sz w:val="52"/>
          <w:szCs w:val="52"/>
          <w:lang w:val="pt-BR"/>
        </w:rPr>
        <w:t>esforços</w:t>
      </w:r>
      <w:r w:rsidR="002012AB" w:rsidRPr="001130E8">
        <w:rPr>
          <w:sz w:val="52"/>
          <w:szCs w:val="52"/>
          <w:lang w:val="pt-BR"/>
        </w:rPr>
        <w:t>.</w:t>
      </w:r>
    </w:p>
    <w:p w14:paraId="7EE5577F" w14:textId="77777777" w:rsidR="0088024F" w:rsidRPr="001130E8" w:rsidRDefault="0088024F" w:rsidP="0088024F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É de fundamental importância que o Governo Federal reconheça o papel dos Governos Estaduais na redução do desmatamento e que este reconhecimento inclua a possibilidade dos Governos Estaduais receberem recursos diretamente baseados na redução do desmatamento verificada, na conservação e para a regularização ambiental.</w:t>
      </w:r>
    </w:p>
    <w:p w14:paraId="75745902" w14:textId="77777777" w:rsidR="00E36267" w:rsidRPr="001130E8" w:rsidRDefault="00867446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No âmbito da Convenção-Quadro das Nações Unidas para as Mudanças Climáticas (UNFCCC, pela sigla em inglês), </w:t>
      </w:r>
      <w:r w:rsidR="008746DD" w:rsidRPr="001130E8">
        <w:rPr>
          <w:sz w:val="52"/>
          <w:szCs w:val="52"/>
          <w:lang w:val="pt-BR"/>
        </w:rPr>
        <w:t>a regulamentação d</w:t>
      </w:r>
      <w:r w:rsidRPr="001130E8">
        <w:rPr>
          <w:sz w:val="52"/>
          <w:szCs w:val="52"/>
          <w:lang w:val="pt-BR"/>
        </w:rPr>
        <w:t>o mecanismo de Redução de Emissões do Desmatamento</w:t>
      </w:r>
      <w:r w:rsidR="008746DD" w:rsidRPr="001130E8">
        <w:rPr>
          <w:sz w:val="52"/>
          <w:szCs w:val="52"/>
          <w:lang w:val="pt-BR"/>
        </w:rPr>
        <w:t xml:space="preserve"> e Degradação Florestal (REDD+)</w:t>
      </w:r>
      <w:r w:rsidR="00DF42F4" w:rsidRPr="001130E8">
        <w:rPr>
          <w:sz w:val="52"/>
          <w:szCs w:val="52"/>
          <w:lang w:val="pt-BR"/>
        </w:rPr>
        <w:t xml:space="preserve"> praticamente finalizou</w:t>
      </w:r>
      <w:r w:rsidR="008746DD" w:rsidRPr="001130E8">
        <w:rPr>
          <w:sz w:val="52"/>
          <w:szCs w:val="52"/>
          <w:lang w:val="pt-BR"/>
        </w:rPr>
        <w:t xml:space="preserve"> e os países interessados </w:t>
      </w:r>
      <w:r w:rsidR="008746DD" w:rsidRPr="001130E8">
        <w:rPr>
          <w:sz w:val="52"/>
          <w:szCs w:val="52"/>
          <w:lang w:val="pt-BR"/>
        </w:rPr>
        <w:lastRenderedPageBreak/>
        <w:t xml:space="preserve">em acessar recursos do Fundo Verde para o Clima o poderão fazer, ao cumprir com todos os requisitos. </w:t>
      </w:r>
    </w:p>
    <w:p w14:paraId="2204F3E7" w14:textId="7CBACB32" w:rsidR="00AC5F24" w:rsidRPr="001130E8" w:rsidRDefault="008746DD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Dentre estes, está </w:t>
      </w:r>
      <w:proofErr w:type="gramStart"/>
      <w:r w:rsidRPr="001130E8">
        <w:rPr>
          <w:sz w:val="52"/>
          <w:szCs w:val="52"/>
          <w:lang w:val="pt-BR"/>
        </w:rPr>
        <w:t>a</w:t>
      </w:r>
      <w:proofErr w:type="gramEnd"/>
      <w:r w:rsidRPr="001130E8">
        <w:rPr>
          <w:sz w:val="52"/>
          <w:szCs w:val="52"/>
          <w:lang w:val="pt-BR"/>
        </w:rPr>
        <w:t xml:space="preserve"> entrega da Estratégia Nacional de REDD+, a qual vem sendo elaborada pelo Governo Federal desde 2010. </w:t>
      </w:r>
      <w:r w:rsidR="00B2432B" w:rsidRPr="001130E8">
        <w:rPr>
          <w:sz w:val="52"/>
          <w:szCs w:val="52"/>
          <w:lang w:val="pt-BR"/>
        </w:rPr>
        <w:t>A busca por um</w:t>
      </w:r>
      <w:r w:rsidRPr="001130E8">
        <w:rPr>
          <w:sz w:val="52"/>
          <w:szCs w:val="52"/>
          <w:lang w:val="pt-BR"/>
        </w:rPr>
        <w:t xml:space="preserve"> maior envolvimento por parte dos Estados da Amazônia Legal na elaboração desde documento é de longa data</w:t>
      </w:r>
      <w:r w:rsidR="00FB4360" w:rsidRPr="001130E8">
        <w:rPr>
          <w:sz w:val="52"/>
          <w:szCs w:val="52"/>
          <w:lang w:val="pt-BR"/>
        </w:rPr>
        <w:t>,</w:t>
      </w:r>
      <w:r w:rsidRPr="001130E8">
        <w:rPr>
          <w:sz w:val="52"/>
          <w:szCs w:val="52"/>
          <w:lang w:val="pt-BR"/>
        </w:rPr>
        <w:t xml:space="preserve"> </w:t>
      </w:r>
      <w:r w:rsidR="00FB4360" w:rsidRPr="001130E8">
        <w:rPr>
          <w:sz w:val="52"/>
          <w:szCs w:val="52"/>
          <w:lang w:val="pt-BR"/>
        </w:rPr>
        <w:t>inclusive, e</w:t>
      </w:r>
      <w:r w:rsidRPr="001130E8">
        <w:rPr>
          <w:sz w:val="52"/>
          <w:szCs w:val="52"/>
          <w:lang w:val="pt-BR"/>
        </w:rPr>
        <w:t>m 2012 foi entregue um documento ao Ministério do Meio Ambiente</w:t>
      </w:r>
      <w:r w:rsidR="00AC5F24" w:rsidRPr="001130E8">
        <w:rPr>
          <w:sz w:val="52"/>
          <w:szCs w:val="52"/>
          <w:lang w:val="pt-BR"/>
        </w:rPr>
        <w:t xml:space="preserve"> e a Casa Civil da Presidência da República a este respeito, assinada </w:t>
      </w:r>
      <w:r w:rsidR="00FB4360" w:rsidRPr="001130E8">
        <w:rPr>
          <w:sz w:val="52"/>
          <w:szCs w:val="52"/>
          <w:lang w:val="pt-BR"/>
        </w:rPr>
        <w:t xml:space="preserve">por todos os </w:t>
      </w:r>
      <w:r w:rsidRPr="001130E8">
        <w:rPr>
          <w:sz w:val="52"/>
          <w:szCs w:val="52"/>
          <w:lang w:val="pt-BR"/>
        </w:rPr>
        <w:t xml:space="preserve">Estados da Amazônia Legal, </w:t>
      </w:r>
      <w:r w:rsidR="00FB4360" w:rsidRPr="001130E8">
        <w:rPr>
          <w:sz w:val="52"/>
          <w:szCs w:val="52"/>
          <w:lang w:val="pt-BR"/>
        </w:rPr>
        <w:t>porém, até o momento, não há um posicionamento formal</w:t>
      </w:r>
      <w:r w:rsidR="00AC5F24" w:rsidRPr="001130E8">
        <w:rPr>
          <w:rStyle w:val="Refdenotaderodap"/>
          <w:sz w:val="52"/>
          <w:szCs w:val="52"/>
          <w:lang w:val="pt-BR"/>
        </w:rPr>
        <w:footnoteReference w:id="2"/>
      </w:r>
      <w:r w:rsidR="00AC5F24" w:rsidRPr="001130E8">
        <w:rPr>
          <w:sz w:val="52"/>
          <w:szCs w:val="52"/>
          <w:lang w:val="pt-BR"/>
        </w:rPr>
        <w:t>.</w:t>
      </w:r>
    </w:p>
    <w:p w14:paraId="155F34DC" w14:textId="089FD8C6" w:rsidR="00B2432B" w:rsidRPr="001130E8" w:rsidRDefault="00606D6F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Conforme apresentado na proposta elaborada pelos Estados que </w:t>
      </w:r>
      <w:r w:rsidR="0024328C" w:rsidRPr="001130E8">
        <w:rPr>
          <w:sz w:val="52"/>
          <w:szCs w:val="52"/>
          <w:lang w:val="pt-BR"/>
        </w:rPr>
        <w:t>compõe</w:t>
      </w:r>
      <w:r w:rsidR="00DF42F4" w:rsidRPr="001130E8">
        <w:rPr>
          <w:sz w:val="52"/>
          <w:szCs w:val="52"/>
          <w:lang w:val="pt-BR"/>
        </w:rPr>
        <w:t>m</w:t>
      </w:r>
      <w:r w:rsidRPr="001130E8">
        <w:rPr>
          <w:sz w:val="52"/>
          <w:szCs w:val="52"/>
          <w:lang w:val="pt-BR"/>
        </w:rPr>
        <w:t xml:space="preserve"> no Brasil a Força Tarefa dos Governadores para o Clima e as </w:t>
      </w:r>
      <w:r w:rsidRPr="001130E8">
        <w:rPr>
          <w:sz w:val="52"/>
          <w:szCs w:val="52"/>
          <w:lang w:val="pt-BR"/>
        </w:rPr>
        <w:lastRenderedPageBreak/>
        <w:t>Florestas (GCF</w:t>
      </w:r>
      <w:proofErr w:type="gramStart"/>
      <w:r w:rsidRPr="001130E8">
        <w:rPr>
          <w:sz w:val="52"/>
          <w:szCs w:val="52"/>
          <w:lang w:val="pt-BR"/>
        </w:rPr>
        <w:t>)</w:t>
      </w:r>
      <w:proofErr w:type="gramEnd"/>
      <w:r w:rsidR="005E6FF4" w:rsidRPr="001130E8">
        <w:rPr>
          <w:rStyle w:val="Refdenotaderodap"/>
          <w:sz w:val="52"/>
          <w:szCs w:val="52"/>
          <w:lang w:val="pt-BR"/>
        </w:rPr>
        <w:footnoteReference w:id="3"/>
      </w:r>
      <w:r w:rsidR="00B2432B" w:rsidRPr="001130E8">
        <w:rPr>
          <w:sz w:val="52"/>
          <w:szCs w:val="52"/>
          <w:lang w:val="pt-BR"/>
        </w:rPr>
        <w:t xml:space="preserve">, o setor de uso da terra e florestas, e, principalmente as ações voltadas à redução do desmatamento na Amazônia são o principal vetor de redução de emissões do Plano Nacional de Mudanças Climáticas. A redução de 80% do desmatamento até 2020 representa 55% da meta nacional de redução de gases de efeito estufa. Ainda, é possível notar que o único setor que se propõe a reduzir emissões em termos absolutos até 2020 é o de uso da terra e florestas. Ou seja, as reduções dos setores de energia, agropecuário, processos industriais e tratamento de resíduos foram desenhados levando em consideração um crescimento exponencial de emissões e, portanto, mesmo cumprindo com suas “metas projetadas de redução” gerarão um </w:t>
      </w:r>
      <w:r w:rsidR="00B2432B" w:rsidRPr="001130E8">
        <w:rPr>
          <w:sz w:val="52"/>
          <w:szCs w:val="52"/>
          <w:lang w:val="pt-BR"/>
        </w:rPr>
        <w:lastRenderedPageBreak/>
        <w:t xml:space="preserve">aumento significativo de emissões de GEE até 2020. </w:t>
      </w:r>
    </w:p>
    <w:p w14:paraId="63DD33EC" w14:textId="61E0F12D" w:rsidR="00A159CA" w:rsidRPr="001130E8" w:rsidRDefault="00A159CA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O Brasil atingiu importantes resultados, mas o aumento do desmatamento em 2013 demonstra que o progresso é frágil e que é preciso avançar nos eixos estratégicos, especialmente nas atividades voltadas ao fomento a atividades sustentáveis. </w:t>
      </w:r>
    </w:p>
    <w:p w14:paraId="6C40034E" w14:textId="3F2CDAE0" w:rsidR="00B2432B" w:rsidRPr="001130E8" w:rsidRDefault="00A159CA" w:rsidP="007120BB">
      <w:pPr>
        <w:spacing w:after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P</w:t>
      </w:r>
      <w:r w:rsidR="00B2432B" w:rsidRPr="001130E8">
        <w:rPr>
          <w:sz w:val="52"/>
          <w:szCs w:val="52"/>
          <w:lang w:val="pt-BR"/>
        </w:rPr>
        <w:t>ara que o desmatamento da Amazônia continue em baixos índices é imprescindível maior apoio financeiro para os Estados que tem destinado tempo e recursos próprios à proteção da Amazônia, atuando como os principais responsáveis pelo cumprimento das metas nacionais, sejam recompensados pelos seus esforços.</w:t>
      </w:r>
    </w:p>
    <w:p w14:paraId="7FE07DC7" w14:textId="2512459C" w:rsidR="00A159CA" w:rsidRPr="001130E8" w:rsidRDefault="00A159CA" w:rsidP="007120BB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Diversos potenciais financiadores destas atividades têm demonstrado interesse em se </w:t>
      </w:r>
      <w:r w:rsidRPr="001130E8">
        <w:rPr>
          <w:sz w:val="52"/>
          <w:szCs w:val="52"/>
          <w:lang w:val="pt-BR"/>
        </w:rPr>
        <w:lastRenderedPageBreak/>
        <w:t>engajar em iniciativas subnacionais.</w:t>
      </w:r>
      <w:r w:rsidR="00DF42F4" w:rsidRPr="001130E8">
        <w:rPr>
          <w:sz w:val="52"/>
          <w:szCs w:val="52"/>
          <w:lang w:val="pt-BR"/>
        </w:rPr>
        <w:t xml:space="preserve"> Este ano, entre os dias 15 e 18 de Junho, será realizada a Reunião Anual do GCF, em Barcelona, na Catalunha e uma série de potenciais doadores e financiadores estará presente para conhecer mais sobre as ações dos Estados do GCF. A presença dos Governadores nesta reunião será uma importante prova do comprometimento destes com as metas de redução do desmatamento e com o desenvolvimento sustentável. </w:t>
      </w:r>
    </w:p>
    <w:p w14:paraId="4171569A" w14:textId="490542AB" w:rsidR="00DF42F4" w:rsidRPr="001130E8" w:rsidRDefault="00A159CA" w:rsidP="007120BB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C</w:t>
      </w:r>
      <w:r w:rsidR="009966D3" w:rsidRPr="001130E8">
        <w:rPr>
          <w:sz w:val="52"/>
          <w:szCs w:val="52"/>
          <w:lang w:val="pt-BR"/>
        </w:rPr>
        <w:t xml:space="preserve">onsiderando os pontos acima levantados, ressaltamos a importância de </w:t>
      </w:r>
      <w:r w:rsidR="00DF42F4" w:rsidRPr="001130E8">
        <w:rPr>
          <w:sz w:val="52"/>
          <w:szCs w:val="52"/>
          <w:lang w:val="pt-BR"/>
        </w:rPr>
        <w:t xml:space="preserve">que este Fórum de Governadores avance nas </w:t>
      </w:r>
      <w:r w:rsidR="00414470" w:rsidRPr="001130E8">
        <w:rPr>
          <w:sz w:val="52"/>
          <w:szCs w:val="52"/>
          <w:lang w:val="pt-BR"/>
        </w:rPr>
        <w:t>tratativas</w:t>
      </w:r>
      <w:r w:rsidR="00DF42F4" w:rsidRPr="001130E8">
        <w:rPr>
          <w:sz w:val="52"/>
          <w:szCs w:val="52"/>
          <w:lang w:val="pt-BR"/>
        </w:rPr>
        <w:t xml:space="preserve"> com o Governo Federal,</w:t>
      </w:r>
      <w:r w:rsidR="00414470" w:rsidRPr="001130E8">
        <w:rPr>
          <w:sz w:val="52"/>
          <w:szCs w:val="52"/>
          <w:lang w:val="pt-BR"/>
        </w:rPr>
        <w:t xml:space="preserve"> sem prejuízo das articulações com o Poder Legislativo</w:t>
      </w:r>
      <w:r w:rsidR="00DF42F4" w:rsidRPr="001130E8">
        <w:rPr>
          <w:sz w:val="52"/>
          <w:szCs w:val="52"/>
          <w:lang w:val="pt-BR"/>
        </w:rPr>
        <w:t xml:space="preserve"> para que este passe a reconhecer os esforços subnacionais da redução das emissões provenientes do desmatamento </w:t>
      </w:r>
      <w:r w:rsidR="00414470" w:rsidRPr="001130E8">
        <w:rPr>
          <w:sz w:val="52"/>
          <w:szCs w:val="52"/>
          <w:lang w:val="pt-BR"/>
        </w:rPr>
        <w:t xml:space="preserve">e </w:t>
      </w:r>
      <w:r w:rsidR="00414470" w:rsidRPr="001130E8">
        <w:rPr>
          <w:sz w:val="52"/>
          <w:szCs w:val="52"/>
          <w:lang w:val="pt-BR"/>
        </w:rPr>
        <w:lastRenderedPageBreak/>
        <w:t xml:space="preserve">conservação, </w:t>
      </w:r>
      <w:r w:rsidR="00DF42F4" w:rsidRPr="001130E8">
        <w:rPr>
          <w:sz w:val="52"/>
          <w:szCs w:val="52"/>
          <w:lang w:val="pt-BR"/>
        </w:rPr>
        <w:t>para que os Estados possam receber por resultados desta redução.</w:t>
      </w:r>
    </w:p>
    <w:p w14:paraId="025BC220" w14:textId="59678DF8" w:rsidR="000771EE" w:rsidRPr="001130E8" w:rsidRDefault="000771E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Neste sentido, o Fórum de Governadores da Amazônia Legal, reunido em Cuiabá, capital do Estado de Mato Grosso no dia 29 de maio de 2015, solicita ao </w:t>
      </w:r>
      <w:r w:rsidR="00414470" w:rsidRPr="001130E8">
        <w:rPr>
          <w:sz w:val="52"/>
          <w:szCs w:val="52"/>
          <w:lang w:val="pt-BR"/>
        </w:rPr>
        <w:t>G</w:t>
      </w:r>
      <w:r w:rsidRPr="001130E8">
        <w:rPr>
          <w:sz w:val="52"/>
          <w:szCs w:val="52"/>
          <w:lang w:val="pt-BR"/>
        </w:rPr>
        <w:t xml:space="preserve">overno </w:t>
      </w:r>
      <w:r w:rsidR="00414470" w:rsidRPr="001130E8">
        <w:rPr>
          <w:sz w:val="52"/>
          <w:szCs w:val="52"/>
          <w:lang w:val="pt-BR"/>
        </w:rPr>
        <w:t>F</w:t>
      </w:r>
      <w:r w:rsidRPr="001130E8">
        <w:rPr>
          <w:sz w:val="52"/>
          <w:szCs w:val="52"/>
          <w:lang w:val="pt-BR"/>
        </w:rPr>
        <w:t>ederal que:</w:t>
      </w:r>
    </w:p>
    <w:p w14:paraId="1532F3B5" w14:textId="1D12AE22" w:rsidR="000771EE" w:rsidRPr="001130E8" w:rsidRDefault="000771E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1.</w:t>
      </w:r>
      <w:r w:rsidRPr="001130E8">
        <w:rPr>
          <w:sz w:val="52"/>
          <w:szCs w:val="52"/>
          <w:lang w:val="pt-BR"/>
        </w:rPr>
        <w:tab/>
        <w:t xml:space="preserve">Acate a metodologia de estoque e fluxo para a alocação das reduções do desmatamento evitado entre os estados amazônicos e o </w:t>
      </w:r>
      <w:r w:rsidR="00967E7C">
        <w:rPr>
          <w:sz w:val="52"/>
          <w:szCs w:val="52"/>
          <w:lang w:val="pt-BR"/>
        </w:rPr>
        <w:t>G</w:t>
      </w:r>
      <w:r w:rsidRPr="001130E8">
        <w:rPr>
          <w:sz w:val="52"/>
          <w:szCs w:val="52"/>
          <w:lang w:val="pt-BR"/>
        </w:rPr>
        <w:t xml:space="preserve">overno </w:t>
      </w:r>
      <w:r w:rsidR="00967E7C">
        <w:rPr>
          <w:sz w:val="52"/>
          <w:szCs w:val="52"/>
          <w:lang w:val="pt-BR"/>
        </w:rPr>
        <w:t>F</w:t>
      </w:r>
      <w:r w:rsidRPr="001130E8">
        <w:rPr>
          <w:sz w:val="52"/>
          <w:szCs w:val="52"/>
          <w:lang w:val="pt-BR"/>
        </w:rPr>
        <w:t>ederal proposta pelo Fórum dos Secretários de Meio Ambiente da Amazônia Legal, no âmbito da discussão da Estratégia Nacional de REDD+, entregue a Casa Civil da Presidência da República e ao Ministério do Meio Ambiente em reunião realizada no Palácio do Planalto no dia 19.09.2012;</w:t>
      </w:r>
    </w:p>
    <w:p w14:paraId="5EBC356E" w14:textId="09A4B53C" w:rsidR="000771EE" w:rsidRPr="001130E8" w:rsidRDefault="000771E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2.</w:t>
      </w:r>
      <w:r w:rsidRPr="001130E8">
        <w:rPr>
          <w:sz w:val="52"/>
          <w:szCs w:val="52"/>
          <w:lang w:val="pt-BR"/>
        </w:rPr>
        <w:tab/>
        <w:t>D</w:t>
      </w:r>
      <w:r w:rsidR="0093600C" w:rsidRPr="001130E8">
        <w:rPr>
          <w:sz w:val="52"/>
          <w:szCs w:val="52"/>
          <w:lang w:val="pt-BR"/>
        </w:rPr>
        <w:t xml:space="preserve">efina, em caráter de urgência, a </w:t>
      </w:r>
      <w:r w:rsidRPr="001130E8">
        <w:rPr>
          <w:sz w:val="52"/>
          <w:szCs w:val="52"/>
          <w:lang w:val="pt-BR"/>
        </w:rPr>
        <w:t xml:space="preserve">Estratégia Nacional de REDD+ em conjunto com os </w:t>
      </w:r>
      <w:r w:rsidR="0093600C" w:rsidRPr="001130E8">
        <w:rPr>
          <w:sz w:val="52"/>
          <w:szCs w:val="52"/>
          <w:lang w:val="pt-BR"/>
        </w:rPr>
        <w:t>E</w:t>
      </w:r>
      <w:r w:rsidRPr="001130E8">
        <w:rPr>
          <w:sz w:val="52"/>
          <w:szCs w:val="52"/>
          <w:lang w:val="pt-BR"/>
        </w:rPr>
        <w:t xml:space="preserve">stados </w:t>
      </w:r>
      <w:r w:rsidR="0093600C" w:rsidRPr="001130E8">
        <w:rPr>
          <w:sz w:val="52"/>
          <w:szCs w:val="52"/>
          <w:lang w:val="pt-BR"/>
        </w:rPr>
        <w:lastRenderedPageBreak/>
        <w:t>A</w:t>
      </w:r>
      <w:r w:rsidRPr="001130E8">
        <w:rPr>
          <w:sz w:val="52"/>
          <w:szCs w:val="52"/>
          <w:lang w:val="pt-BR"/>
        </w:rPr>
        <w:t>mazônicos, processo este paralisado desde o ano de 2012;</w:t>
      </w:r>
    </w:p>
    <w:p w14:paraId="755AA329" w14:textId="77777777" w:rsidR="000771EE" w:rsidRPr="001130E8" w:rsidRDefault="000771E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3.</w:t>
      </w:r>
      <w:r w:rsidRPr="001130E8">
        <w:rPr>
          <w:sz w:val="52"/>
          <w:szCs w:val="52"/>
          <w:lang w:val="pt-BR"/>
        </w:rPr>
        <w:tab/>
        <w:t>Apoie a captação de recursos externos pelos estados amazônicos para a redução dos desmatamentos e proteção da floresta;</w:t>
      </w:r>
    </w:p>
    <w:p w14:paraId="3A572486" w14:textId="1DEDFB3D" w:rsidR="000771EE" w:rsidRPr="001130E8" w:rsidRDefault="000771E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4.</w:t>
      </w:r>
      <w:r w:rsidRPr="001130E8">
        <w:rPr>
          <w:sz w:val="52"/>
          <w:szCs w:val="52"/>
          <w:lang w:val="pt-BR"/>
        </w:rPr>
        <w:tab/>
        <w:t xml:space="preserve">Promova a alteração do art. 1° do Decreto n° 6.527/2008, que autoriza o BNDES a operar o Fundo Amazônia, substituindo a palavra “Bioma Amazônico” por “Amazônia Legal”, uma vez que a captação de recursos financeiros do </w:t>
      </w:r>
      <w:proofErr w:type="gramStart"/>
      <w:r w:rsidRPr="001130E8">
        <w:rPr>
          <w:sz w:val="52"/>
          <w:szCs w:val="52"/>
          <w:lang w:val="pt-BR"/>
        </w:rPr>
        <w:t>Fundo Amazônia</w:t>
      </w:r>
      <w:proofErr w:type="gramEnd"/>
      <w:r w:rsidRPr="001130E8">
        <w:rPr>
          <w:sz w:val="52"/>
          <w:szCs w:val="52"/>
          <w:lang w:val="pt-BR"/>
        </w:rPr>
        <w:t xml:space="preserve"> está respaldada pela redução do desmatamento monitorada pelo PRODES/INPE produzidas na Amazôni</w:t>
      </w:r>
      <w:r w:rsidR="00414470" w:rsidRPr="001130E8">
        <w:rPr>
          <w:sz w:val="52"/>
          <w:szCs w:val="52"/>
          <w:lang w:val="pt-BR"/>
        </w:rPr>
        <w:t>a Legal e não no Bioma Amazônia;</w:t>
      </w:r>
    </w:p>
    <w:p w14:paraId="6355122C" w14:textId="53371FEA" w:rsidR="0065091D" w:rsidRPr="001130E8" w:rsidRDefault="00414470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5. </w:t>
      </w:r>
      <w:r w:rsidR="0065091D" w:rsidRPr="001130E8">
        <w:rPr>
          <w:sz w:val="52"/>
          <w:szCs w:val="52"/>
          <w:lang w:val="pt-BR"/>
        </w:rPr>
        <w:t xml:space="preserve">Desenvolva programas de apoio e incentivos econômicos, fiscais e financeiros para </w:t>
      </w:r>
      <w:r w:rsidR="007D2EDC">
        <w:rPr>
          <w:sz w:val="52"/>
          <w:szCs w:val="52"/>
          <w:lang w:val="pt-BR"/>
        </w:rPr>
        <w:t>consolidação e manutenção</w:t>
      </w:r>
      <w:r w:rsidR="0065091D" w:rsidRPr="001130E8">
        <w:rPr>
          <w:sz w:val="52"/>
          <w:szCs w:val="52"/>
          <w:lang w:val="pt-BR"/>
        </w:rPr>
        <w:t xml:space="preserve"> das áreas protegidas dos Estados Amazônicos</w:t>
      </w:r>
      <w:r w:rsidR="0002081E" w:rsidRPr="001130E8">
        <w:rPr>
          <w:sz w:val="52"/>
          <w:szCs w:val="52"/>
          <w:lang w:val="pt-BR"/>
        </w:rPr>
        <w:t>;</w:t>
      </w:r>
      <w:r w:rsidR="00B77152" w:rsidRPr="001130E8">
        <w:rPr>
          <w:sz w:val="52"/>
          <w:szCs w:val="52"/>
          <w:lang w:val="pt-BR"/>
        </w:rPr>
        <w:t xml:space="preserve"> </w:t>
      </w:r>
    </w:p>
    <w:p w14:paraId="52208EA9" w14:textId="5AD45963" w:rsidR="00492033" w:rsidRPr="001130E8" w:rsidRDefault="0002081E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lastRenderedPageBreak/>
        <w:t>6. Cri</w:t>
      </w:r>
      <w:r w:rsidR="00E21777" w:rsidRPr="001130E8">
        <w:rPr>
          <w:sz w:val="52"/>
          <w:szCs w:val="52"/>
          <w:lang w:val="pt-BR"/>
        </w:rPr>
        <w:t>e</w:t>
      </w:r>
      <w:r w:rsidRPr="001130E8">
        <w:rPr>
          <w:sz w:val="52"/>
          <w:szCs w:val="52"/>
          <w:lang w:val="pt-BR"/>
        </w:rPr>
        <w:t xml:space="preserve"> mecanismos para compensar os Estados Amazônicos que contém mais de 50% de seu território composto por Unidades de Conservação</w:t>
      </w:r>
      <w:r w:rsidR="00492033" w:rsidRPr="001130E8">
        <w:rPr>
          <w:sz w:val="52"/>
          <w:szCs w:val="52"/>
          <w:lang w:val="pt-BR"/>
        </w:rPr>
        <w:t xml:space="preserve"> e Terras Indígenas</w:t>
      </w:r>
      <w:r w:rsidR="0074372A" w:rsidRPr="001130E8">
        <w:rPr>
          <w:sz w:val="52"/>
          <w:szCs w:val="52"/>
          <w:lang w:val="pt-BR"/>
        </w:rPr>
        <w:t>.</w:t>
      </w:r>
    </w:p>
    <w:p w14:paraId="22D571A4" w14:textId="738F6286" w:rsidR="00492033" w:rsidRPr="001130E8" w:rsidRDefault="0074372A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Em suma, o</w:t>
      </w:r>
      <w:r w:rsidR="00492033" w:rsidRPr="001130E8">
        <w:rPr>
          <w:sz w:val="52"/>
          <w:szCs w:val="52"/>
          <w:lang w:val="pt-BR"/>
        </w:rPr>
        <w:t xml:space="preserve"> grande desafio </w:t>
      </w:r>
      <w:r w:rsidRPr="001130E8">
        <w:rPr>
          <w:sz w:val="52"/>
          <w:szCs w:val="52"/>
          <w:lang w:val="pt-BR"/>
        </w:rPr>
        <w:t xml:space="preserve">dos Estados </w:t>
      </w:r>
      <w:r w:rsidR="00492033" w:rsidRPr="001130E8">
        <w:rPr>
          <w:sz w:val="52"/>
          <w:szCs w:val="52"/>
          <w:lang w:val="pt-BR"/>
        </w:rPr>
        <w:t xml:space="preserve">da Amazônia é construir uma agenda integrada </w:t>
      </w:r>
      <w:r w:rsidRPr="001130E8">
        <w:rPr>
          <w:sz w:val="52"/>
          <w:szCs w:val="52"/>
          <w:lang w:val="pt-BR"/>
        </w:rPr>
        <w:t xml:space="preserve">de desenvolvimento sustentável, direcionada para Economia Verde, Saneamento Ambiental, Crédito, Infraestrutura e incentivos para a indústria </w:t>
      </w:r>
      <w:r w:rsidR="00492033" w:rsidRPr="001130E8">
        <w:rPr>
          <w:sz w:val="52"/>
          <w:szCs w:val="52"/>
          <w:lang w:val="pt-BR"/>
        </w:rPr>
        <w:t>q</w:t>
      </w:r>
      <w:r w:rsidRPr="001130E8">
        <w:rPr>
          <w:sz w:val="52"/>
          <w:szCs w:val="52"/>
          <w:lang w:val="pt-BR"/>
        </w:rPr>
        <w:t>ue contemplem a valorização diferenciada de produção e cadeia produtiva sustentável e inclusiva.</w:t>
      </w:r>
    </w:p>
    <w:p w14:paraId="4CF7E9D0" w14:textId="4A393FD6" w:rsidR="00414470" w:rsidRPr="001130E8" w:rsidRDefault="0065091D" w:rsidP="000771EE">
      <w:pPr>
        <w:spacing w:before="240" w:line="276" w:lineRule="auto"/>
        <w:jc w:val="both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 xml:space="preserve"> </w:t>
      </w:r>
    </w:p>
    <w:p w14:paraId="7D9A8351" w14:textId="77777777" w:rsidR="000771EE" w:rsidRPr="001130E8" w:rsidRDefault="000771EE" w:rsidP="007120BB">
      <w:pPr>
        <w:jc w:val="right"/>
        <w:rPr>
          <w:sz w:val="52"/>
          <w:szCs w:val="52"/>
          <w:lang w:val="pt-BR"/>
        </w:rPr>
      </w:pPr>
    </w:p>
    <w:p w14:paraId="3B27E541" w14:textId="268C6D5E" w:rsidR="009966D3" w:rsidRPr="001130E8" w:rsidRDefault="00C57BFF" w:rsidP="007120BB">
      <w:pPr>
        <w:jc w:val="right"/>
        <w:rPr>
          <w:sz w:val="52"/>
          <w:szCs w:val="52"/>
          <w:lang w:val="pt-BR"/>
        </w:rPr>
      </w:pPr>
      <w:r w:rsidRPr="001130E8">
        <w:rPr>
          <w:sz w:val="52"/>
          <w:szCs w:val="52"/>
          <w:lang w:val="pt-BR"/>
        </w:rPr>
        <w:t>Cuiabá</w:t>
      </w:r>
      <w:r w:rsidR="007120BB" w:rsidRPr="001130E8">
        <w:rPr>
          <w:sz w:val="52"/>
          <w:szCs w:val="52"/>
          <w:lang w:val="pt-BR"/>
        </w:rPr>
        <w:t xml:space="preserve">, </w:t>
      </w:r>
      <w:r w:rsidR="00AC5F24" w:rsidRPr="001130E8">
        <w:rPr>
          <w:sz w:val="52"/>
          <w:szCs w:val="52"/>
          <w:lang w:val="pt-BR"/>
        </w:rPr>
        <w:t xml:space="preserve">29 </w:t>
      </w:r>
      <w:r w:rsidRPr="001130E8">
        <w:rPr>
          <w:sz w:val="52"/>
          <w:szCs w:val="52"/>
          <w:lang w:val="pt-BR"/>
        </w:rPr>
        <w:t xml:space="preserve">de maio </w:t>
      </w:r>
      <w:r w:rsidR="007120BB" w:rsidRPr="001130E8">
        <w:rPr>
          <w:sz w:val="52"/>
          <w:szCs w:val="52"/>
          <w:lang w:val="pt-BR"/>
        </w:rPr>
        <w:t>de 2015</w:t>
      </w:r>
      <w:r w:rsidR="00AC5F24" w:rsidRPr="001130E8">
        <w:rPr>
          <w:sz w:val="52"/>
          <w:szCs w:val="52"/>
          <w:lang w:val="pt-BR"/>
        </w:rPr>
        <w:t>.</w:t>
      </w:r>
    </w:p>
    <w:p w14:paraId="2843B6C6" w14:textId="77777777" w:rsidR="000771EE" w:rsidRPr="001130E8" w:rsidRDefault="000771EE" w:rsidP="007120BB">
      <w:pPr>
        <w:jc w:val="right"/>
        <w:rPr>
          <w:sz w:val="52"/>
          <w:szCs w:val="52"/>
          <w:lang w:val="pt-BR"/>
        </w:rPr>
      </w:pPr>
    </w:p>
    <w:p w14:paraId="69DB8185" w14:textId="77777777" w:rsidR="001130E8" w:rsidRPr="001130E8" w:rsidRDefault="001130E8" w:rsidP="007120BB">
      <w:pPr>
        <w:jc w:val="right"/>
        <w:rPr>
          <w:sz w:val="52"/>
          <w:szCs w:val="52"/>
          <w:lang w:val="pt-BR"/>
        </w:rPr>
      </w:pPr>
    </w:p>
    <w:p w14:paraId="2504BEA2" w14:textId="77777777" w:rsidR="001130E8" w:rsidRPr="001130E8" w:rsidRDefault="001130E8" w:rsidP="007120BB">
      <w:pPr>
        <w:jc w:val="right"/>
        <w:rPr>
          <w:sz w:val="52"/>
          <w:szCs w:val="52"/>
          <w:lang w:val="pt-BR"/>
        </w:rPr>
      </w:pPr>
    </w:p>
    <w:p w14:paraId="3D996FFF" w14:textId="77777777" w:rsidR="00934D2A" w:rsidRPr="001130E8" w:rsidRDefault="00934D2A" w:rsidP="007120BB">
      <w:pPr>
        <w:jc w:val="right"/>
        <w:rPr>
          <w:sz w:val="52"/>
          <w:szCs w:val="52"/>
          <w:lang w:val="pt-BR"/>
        </w:rPr>
      </w:pPr>
    </w:p>
    <w:p w14:paraId="2B086F17" w14:textId="77777777" w:rsidR="000771EE" w:rsidRPr="001130E8" w:rsidRDefault="000771EE" w:rsidP="007120BB">
      <w:pPr>
        <w:jc w:val="right"/>
        <w:rPr>
          <w:sz w:val="52"/>
          <w:szCs w:val="52"/>
          <w:lang w:val="pt-BR"/>
        </w:rPr>
      </w:pPr>
    </w:p>
    <w:p w14:paraId="6984CBD4" w14:textId="77777777" w:rsidR="00AC5F24" w:rsidRPr="001130E8" w:rsidRDefault="00AC5F24" w:rsidP="007120BB">
      <w:pPr>
        <w:jc w:val="right"/>
        <w:rPr>
          <w:sz w:val="52"/>
          <w:szCs w:val="52"/>
          <w:lang w:val="pt-BR"/>
        </w:rPr>
      </w:pPr>
    </w:p>
    <w:p w14:paraId="70B139A7" w14:textId="77777777" w:rsidR="00934D2A" w:rsidRPr="001130E8" w:rsidRDefault="00934D2A" w:rsidP="007120BB">
      <w:pPr>
        <w:jc w:val="right"/>
        <w:rPr>
          <w:sz w:val="52"/>
          <w:szCs w:val="52"/>
          <w:lang w:val="pt-BR"/>
        </w:rPr>
      </w:pPr>
    </w:p>
    <w:tbl>
      <w:tblPr>
        <w:tblStyle w:val="Tabelacomgrade"/>
        <w:tblW w:w="0" w:type="auto"/>
        <w:jc w:val="center"/>
        <w:tblInd w:w="-2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29"/>
        <w:gridCol w:w="4781"/>
      </w:tblGrid>
      <w:tr w:rsidR="001130E8" w:rsidRPr="001130E8" w14:paraId="2A450E3A" w14:textId="77777777" w:rsidTr="0093600C">
        <w:trPr>
          <w:jc w:val="center"/>
        </w:trPr>
        <w:tc>
          <w:tcPr>
            <w:tcW w:w="4463" w:type="dxa"/>
            <w:vAlign w:val="center"/>
          </w:tcPr>
          <w:p w14:paraId="61F483FC" w14:textId="369067DE" w:rsidR="001E1F33" w:rsidRPr="001130E8" w:rsidRDefault="0093600C" w:rsidP="001E1F33">
            <w:pPr>
              <w:ind w:left="-208" w:firstLine="208"/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Tião Viana</w:t>
            </w:r>
          </w:p>
        </w:tc>
        <w:tc>
          <w:tcPr>
            <w:tcW w:w="429" w:type="dxa"/>
          </w:tcPr>
          <w:p w14:paraId="6B13F5A8" w14:textId="77777777" w:rsidR="001E1F33" w:rsidRPr="001130E8" w:rsidRDefault="001E1F33" w:rsidP="001E1F33">
            <w:pPr>
              <w:jc w:val="center"/>
              <w:rPr>
                <w:b/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7C7832E2" w14:textId="2FD2D536" w:rsidR="001E1F33" w:rsidRPr="001130E8" w:rsidRDefault="0093600C" w:rsidP="0093600C">
            <w:pPr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 xml:space="preserve">Waldez </w:t>
            </w:r>
            <w:proofErr w:type="spellStart"/>
            <w:r w:rsidRPr="001130E8">
              <w:rPr>
                <w:b/>
                <w:sz w:val="52"/>
                <w:szCs w:val="52"/>
                <w:lang w:val="pt-BR"/>
              </w:rPr>
              <w:t>Goés</w:t>
            </w:r>
            <w:proofErr w:type="spellEnd"/>
            <w:r w:rsidRPr="001130E8">
              <w:rPr>
                <w:b/>
                <w:sz w:val="52"/>
                <w:szCs w:val="52"/>
                <w:lang w:val="pt-BR"/>
              </w:rPr>
              <w:t xml:space="preserve"> </w:t>
            </w:r>
          </w:p>
        </w:tc>
      </w:tr>
      <w:tr w:rsidR="001130E8" w:rsidRPr="001130E8" w14:paraId="2454CFEA" w14:textId="77777777" w:rsidTr="0093600C">
        <w:trPr>
          <w:jc w:val="center"/>
        </w:trPr>
        <w:tc>
          <w:tcPr>
            <w:tcW w:w="4463" w:type="dxa"/>
            <w:vAlign w:val="center"/>
          </w:tcPr>
          <w:p w14:paraId="3AD5271D" w14:textId="58BDF354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 do Acre</w:t>
            </w:r>
          </w:p>
        </w:tc>
        <w:tc>
          <w:tcPr>
            <w:tcW w:w="429" w:type="dxa"/>
          </w:tcPr>
          <w:p w14:paraId="3B0672CA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1E4A52BD" w14:textId="77C42683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 do Amapá</w:t>
            </w:r>
          </w:p>
        </w:tc>
      </w:tr>
      <w:tr w:rsidR="001130E8" w:rsidRPr="001130E8" w14:paraId="7564B3AC" w14:textId="77777777" w:rsidTr="0093600C">
        <w:trPr>
          <w:jc w:val="center"/>
        </w:trPr>
        <w:tc>
          <w:tcPr>
            <w:tcW w:w="4463" w:type="dxa"/>
            <w:vAlign w:val="center"/>
          </w:tcPr>
          <w:p w14:paraId="7063DBE6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41F80170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426A5BAF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054C1E72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64B900C6" w14:textId="5FB4DB0E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08E39DC3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285F91AF" w14:textId="016E8B53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36288B33" w14:textId="77777777" w:rsidTr="0093600C">
        <w:trPr>
          <w:jc w:val="center"/>
        </w:trPr>
        <w:tc>
          <w:tcPr>
            <w:tcW w:w="4463" w:type="dxa"/>
            <w:vAlign w:val="center"/>
          </w:tcPr>
          <w:p w14:paraId="334DCA2B" w14:textId="11558991" w:rsidR="001E1F33" w:rsidRPr="001130E8" w:rsidRDefault="001E1F33" w:rsidP="001E1F33">
            <w:pPr>
              <w:ind w:left="-208" w:firstLine="208"/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José Melo de Oliveira</w:t>
            </w:r>
          </w:p>
        </w:tc>
        <w:tc>
          <w:tcPr>
            <w:tcW w:w="429" w:type="dxa"/>
          </w:tcPr>
          <w:p w14:paraId="5ADE42E4" w14:textId="77777777" w:rsidR="001E1F33" w:rsidRPr="001130E8" w:rsidRDefault="001E1F33" w:rsidP="001E1F33">
            <w:pPr>
              <w:jc w:val="center"/>
              <w:rPr>
                <w:b/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4A5190B0" w14:textId="3A1E757D" w:rsidR="001E1F33" w:rsidRPr="001130E8" w:rsidRDefault="001E1F33" w:rsidP="0093600C">
            <w:pPr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Pedro Taques</w:t>
            </w:r>
          </w:p>
        </w:tc>
      </w:tr>
      <w:tr w:rsidR="001130E8" w:rsidRPr="001130E8" w14:paraId="324A5857" w14:textId="77777777" w:rsidTr="0093600C">
        <w:trPr>
          <w:jc w:val="center"/>
        </w:trPr>
        <w:tc>
          <w:tcPr>
            <w:tcW w:w="4463" w:type="dxa"/>
            <w:vAlign w:val="center"/>
          </w:tcPr>
          <w:p w14:paraId="4C710682" w14:textId="198B33C1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 do Amazonas</w:t>
            </w:r>
          </w:p>
        </w:tc>
        <w:tc>
          <w:tcPr>
            <w:tcW w:w="429" w:type="dxa"/>
          </w:tcPr>
          <w:p w14:paraId="259CAA69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2713810B" w14:textId="1BB90FB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 de Mato Grosso</w:t>
            </w:r>
          </w:p>
        </w:tc>
      </w:tr>
      <w:tr w:rsidR="001130E8" w:rsidRPr="001130E8" w14:paraId="7966E8EC" w14:textId="77777777" w:rsidTr="0093600C">
        <w:trPr>
          <w:jc w:val="center"/>
        </w:trPr>
        <w:tc>
          <w:tcPr>
            <w:tcW w:w="4463" w:type="dxa"/>
            <w:vAlign w:val="center"/>
          </w:tcPr>
          <w:p w14:paraId="01568CCA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625C06DE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5438B508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1E85E7E6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363F7FF1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38254804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3D1C1538" w14:textId="06424A33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680A09F3" w14:textId="77777777" w:rsidTr="0093600C">
        <w:trPr>
          <w:jc w:val="center"/>
        </w:trPr>
        <w:tc>
          <w:tcPr>
            <w:tcW w:w="4463" w:type="dxa"/>
            <w:vAlign w:val="center"/>
          </w:tcPr>
          <w:p w14:paraId="7C028EEE" w14:textId="2B7F0B5D" w:rsidR="001E1F33" w:rsidRPr="001130E8" w:rsidRDefault="001E1F33" w:rsidP="001E1F33">
            <w:pPr>
              <w:ind w:left="-208" w:firstLine="208"/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Carlos Brandão</w:t>
            </w:r>
          </w:p>
        </w:tc>
        <w:tc>
          <w:tcPr>
            <w:tcW w:w="429" w:type="dxa"/>
          </w:tcPr>
          <w:p w14:paraId="40102E37" w14:textId="77777777" w:rsidR="001E1F33" w:rsidRPr="001130E8" w:rsidRDefault="001E1F33" w:rsidP="001E1F33">
            <w:pPr>
              <w:jc w:val="center"/>
              <w:rPr>
                <w:b/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09324191" w14:textId="094891DB" w:rsidR="001E1F33" w:rsidRPr="001130E8" w:rsidRDefault="001E1F33" w:rsidP="001E1F33">
            <w:pPr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Daniel Pereira</w:t>
            </w:r>
          </w:p>
        </w:tc>
      </w:tr>
      <w:tr w:rsidR="001130E8" w:rsidRPr="001130E8" w14:paraId="0775E81F" w14:textId="77777777" w:rsidTr="0093600C">
        <w:trPr>
          <w:jc w:val="center"/>
        </w:trPr>
        <w:tc>
          <w:tcPr>
            <w:tcW w:w="4463" w:type="dxa"/>
            <w:vAlign w:val="center"/>
          </w:tcPr>
          <w:p w14:paraId="642CAAE8" w14:textId="1221CFFE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lastRenderedPageBreak/>
              <w:t>Vice-Governador do Maranhão</w:t>
            </w:r>
          </w:p>
        </w:tc>
        <w:tc>
          <w:tcPr>
            <w:tcW w:w="429" w:type="dxa"/>
          </w:tcPr>
          <w:p w14:paraId="212C6285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20A57B3F" w14:textId="47C9BB89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Vice-Governador de Rondônia</w:t>
            </w:r>
          </w:p>
        </w:tc>
      </w:tr>
      <w:tr w:rsidR="001130E8" w:rsidRPr="001130E8" w14:paraId="2BD4CC96" w14:textId="77777777" w:rsidTr="0093600C">
        <w:trPr>
          <w:trHeight w:val="993"/>
          <w:jc w:val="center"/>
        </w:trPr>
        <w:tc>
          <w:tcPr>
            <w:tcW w:w="4463" w:type="dxa"/>
            <w:vAlign w:val="center"/>
          </w:tcPr>
          <w:p w14:paraId="22F7391B" w14:textId="77777777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7EFDCF18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5156A4A2" w14:textId="77777777" w:rsidR="000771EE" w:rsidRPr="001130E8" w:rsidRDefault="000771EE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3D43DF3A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23FA6187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  <w:p w14:paraId="577C4465" w14:textId="77777777" w:rsidR="000771EE" w:rsidRPr="001130E8" w:rsidRDefault="000771EE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  <w:p w14:paraId="03F6BD9C" w14:textId="3ECC436F" w:rsidR="000771EE" w:rsidRPr="001130E8" w:rsidRDefault="000771EE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26E66B5B" w14:textId="77777777" w:rsidTr="0093600C">
        <w:trPr>
          <w:jc w:val="center"/>
        </w:trPr>
        <w:tc>
          <w:tcPr>
            <w:tcW w:w="4463" w:type="dxa"/>
            <w:vAlign w:val="center"/>
          </w:tcPr>
          <w:p w14:paraId="64DC58BA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7444C8C9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0DD7B278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412A2B29" w14:textId="77777777" w:rsidTr="0093600C">
        <w:trPr>
          <w:jc w:val="center"/>
        </w:trPr>
        <w:tc>
          <w:tcPr>
            <w:tcW w:w="4463" w:type="dxa"/>
            <w:vAlign w:val="center"/>
          </w:tcPr>
          <w:p w14:paraId="3B2FC14C" w14:textId="15E9B188" w:rsidR="001E1F33" w:rsidRPr="001130E8" w:rsidRDefault="001E1F33" w:rsidP="0093600C">
            <w:pPr>
              <w:ind w:left="-208" w:firstLine="208"/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Suely Campos</w:t>
            </w:r>
          </w:p>
        </w:tc>
        <w:tc>
          <w:tcPr>
            <w:tcW w:w="429" w:type="dxa"/>
          </w:tcPr>
          <w:p w14:paraId="3B99F33F" w14:textId="77777777" w:rsidR="001E1F33" w:rsidRPr="001130E8" w:rsidRDefault="001E1F33" w:rsidP="001E1F33">
            <w:pPr>
              <w:jc w:val="center"/>
              <w:rPr>
                <w:b/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32174120" w14:textId="7D81F456" w:rsidR="001E1F33" w:rsidRPr="001130E8" w:rsidRDefault="001E1F33" w:rsidP="0093600C">
            <w:pPr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Marcelo Miranda</w:t>
            </w:r>
          </w:p>
        </w:tc>
      </w:tr>
      <w:tr w:rsidR="001130E8" w:rsidRPr="001130E8" w14:paraId="29F19945" w14:textId="77777777" w:rsidTr="0093600C">
        <w:trPr>
          <w:jc w:val="center"/>
        </w:trPr>
        <w:tc>
          <w:tcPr>
            <w:tcW w:w="4463" w:type="dxa"/>
            <w:vAlign w:val="center"/>
          </w:tcPr>
          <w:p w14:paraId="7A4D10DC" w14:textId="576226F4" w:rsidR="001E1F33" w:rsidRPr="001130E8" w:rsidRDefault="001E1F33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Governadora de Roraima</w:t>
            </w:r>
          </w:p>
        </w:tc>
        <w:tc>
          <w:tcPr>
            <w:tcW w:w="429" w:type="dxa"/>
          </w:tcPr>
          <w:p w14:paraId="0416CC24" w14:textId="77777777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798CCF17" w14:textId="1C159C38" w:rsidR="001E1F33" w:rsidRPr="001130E8" w:rsidRDefault="001E1F33" w:rsidP="001E1F33">
            <w:pPr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Governador do Tocantins</w:t>
            </w:r>
          </w:p>
        </w:tc>
      </w:tr>
      <w:tr w:rsidR="001130E8" w:rsidRPr="001130E8" w14:paraId="332D1E0F" w14:textId="77777777" w:rsidTr="0093600C">
        <w:trPr>
          <w:jc w:val="center"/>
        </w:trPr>
        <w:tc>
          <w:tcPr>
            <w:tcW w:w="4463" w:type="dxa"/>
            <w:vAlign w:val="center"/>
          </w:tcPr>
          <w:p w14:paraId="3A857EDD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2E60A5A0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4CBEAD96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59FDB354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07EB24B1" w14:textId="77777777" w:rsidR="00934D2A" w:rsidRPr="001130E8" w:rsidRDefault="00934D2A" w:rsidP="001E1F33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62EB4FDF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4A1631C0" w14:textId="77777777" w:rsidR="00934D2A" w:rsidRPr="001130E8" w:rsidRDefault="00934D2A" w:rsidP="00934D2A">
            <w:pPr>
              <w:jc w:val="center"/>
              <w:rPr>
                <w:sz w:val="52"/>
                <w:szCs w:val="52"/>
                <w:lang w:val="pt-BR"/>
              </w:rPr>
            </w:pPr>
          </w:p>
          <w:p w14:paraId="507F7FEB" w14:textId="77777777" w:rsidR="00934D2A" w:rsidRPr="001130E8" w:rsidRDefault="00934D2A" w:rsidP="00934D2A">
            <w:pPr>
              <w:jc w:val="center"/>
              <w:rPr>
                <w:sz w:val="52"/>
                <w:szCs w:val="52"/>
                <w:lang w:val="pt-BR"/>
              </w:rPr>
            </w:pPr>
          </w:p>
          <w:p w14:paraId="78641957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6732F4F3" w14:textId="77777777" w:rsidTr="0093600C">
        <w:trPr>
          <w:jc w:val="center"/>
        </w:trPr>
        <w:tc>
          <w:tcPr>
            <w:tcW w:w="4463" w:type="dxa"/>
            <w:vAlign w:val="center"/>
          </w:tcPr>
          <w:p w14:paraId="5185C42D" w14:textId="29CC0C64" w:rsidR="00934D2A" w:rsidRPr="001130E8" w:rsidRDefault="0093600C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  <w:r w:rsidRPr="001130E8">
              <w:rPr>
                <w:b/>
                <w:sz w:val="52"/>
                <w:szCs w:val="52"/>
                <w:lang w:val="pt-BR"/>
              </w:rPr>
              <w:t>Zequinha</w:t>
            </w:r>
            <w:r w:rsidR="00934D2A" w:rsidRPr="001130E8">
              <w:rPr>
                <w:b/>
                <w:sz w:val="52"/>
                <w:szCs w:val="52"/>
                <w:lang w:val="pt-BR"/>
              </w:rPr>
              <w:t xml:space="preserve"> Marinho</w:t>
            </w:r>
          </w:p>
        </w:tc>
        <w:tc>
          <w:tcPr>
            <w:tcW w:w="429" w:type="dxa"/>
          </w:tcPr>
          <w:p w14:paraId="13C3CEAA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59DBFAD7" w14:textId="6D1E7BE6" w:rsidR="00934D2A" w:rsidRPr="001130E8" w:rsidRDefault="00934D2A" w:rsidP="00934D2A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  <w:tr w:rsidR="001130E8" w:rsidRPr="001130E8" w14:paraId="2AFDE80B" w14:textId="77777777" w:rsidTr="0093600C">
        <w:trPr>
          <w:jc w:val="center"/>
        </w:trPr>
        <w:tc>
          <w:tcPr>
            <w:tcW w:w="4463" w:type="dxa"/>
            <w:vAlign w:val="center"/>
          </w:tcPr>
          <w:p w14:paraId="0492C63E" w14:textId="11D0F03C" w:rsidR="00934D2A" w:rsidRPr="001130E8" w:rsidRDefault="00934D2A" w:rsidP="00934D2A">
            <w:pPr>
              <w:ind w:left="-208" w:firstLine="208"/>
              <w:jc w:val="center"/>
              <w:rPr>
                <w:b/>
                <w:sz w:val="52"/>
                <w:szCs w:val="52"/>
                <w:lang w:val="pt-BR"/>
              </w:rPr>
            </w:pPr>
            <w:r w:rsidRPr="001130E8">
              <w:rPr>
                <w:sz w:val="52"/>
                <w:szCs w:val="52"/>
                <w:lang w:val="pt-BR"/>
              </w:rPr>
              <w:t>Vice-Governador do Pará</w:t>
            </w:r>
          </w:p>
        </w:tc>
        <w:tc>
          <w:tcPr>
            <w:tcW w:w="429" w:type="dxa"/>
          </w:tcPr>
          <w:p w14:paraId="0DCBE03D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616641F9" w14:textId="45841D04" w:rsidR="00934D2A" w:rsidRPr="001130E8" w:rsidRDefault="00934D2A" w:rsidP="00934D2A">
            <w:pPr>
              <w:jc w:val="center"/>
              <w:rPr>
                <w:b/>
                <w:sz w:val="52"/>
                <w:szCs w:val="52"/>
                <w:lang w:val="pt-BR"/>
              </w:rPr>
            </w:pPr>
          </w:p>
        </w:tc>
      </w:tr>
      <w:tr w:rsidR="001130E8" w:rsidRPr="001130E8" w14:paraId="05D5D08B" w14:textId="77777777" w:rsidTr="0093600C">
        <w:trPr>
          <w:jc w:val="center"/>
        </w:trPr>
        <w:tc>
          <w:tcPr>
            <w:tcW w:w="4463" w:type="dxa"/>
            <w:vAlign w:val="center"/>
          </w:tcPr>
          <w:p w14:paraId="76AE1CB0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108F94FC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  <w:p w14:paraId="4571422A" w14:textId="77777777" w:rsidR="00934D2A" w:rsidRPr="001130E8" w:rsidRDefault="00934D2A" w:rsidP="00934D2A">
            <w:pPr>
              <w:ind w:left="-208" w:firstLine="208"/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29" w:type="dxa"/>
          </w:tcPr>
          <w:p w14:paraId="25042A0A" w14:textId="77777777" w:rsidR="00934D2A" w:rsidRPr="001130E8" w:rsidRDefault="00934D2A" w:rsidP="001E1F33">
            <w:pPr>
              <w:jc w:val="center"/>
              <w:rPr>
                <w:sz w:val="52"/>
                <w:szCs w:val="52"/>
                <w:lang w:val="pt-BR"/>
              </w:rPr>
            </w:pPr>
          </w:p>
        </w:tc>
        <w:tc>
          <w:tcPr>
            <w:tcW w:w="4781" w:type="dxa"/>
            <w:vAlign w:val="center"/>
          </w:tcPr>
          <w:p w14:paraId="2BCD80E0" w14:textId="77777777" w:rsidR="00934D2A" w:rsidRPr="001130E8" w:rsidRDefault="00934D2A" w:rsidP="00934D2A">
            <w:pPr>
              <w:jc w:val="center"/>
              <w:rPr>
                <w:sz w:val="52"/>
                <w:szCs w:val="52"/>
                <w:lang w:val="pt-BR"/>
              </w:rPr>
            </w:pPr>
          </w:p>
        </w:tc>
      </w:tr>
    </w:tbl>
    <w:p w14:paraId="571D1977" w14:textId="77777777" w:rsidR="007120BB" w:rsidRPr="001130E8" w:rsidRDefault="007120BB" w:rsidP="000771EE">
      <w:pPr>
        <w:rPr>
          <w:sz w:val="52"/>
          <w:szCs w:val="52"/>
          <w:lang w:val="pt-BR"/>
        </w:rPr>
      </w:pPr>
    </w:p>
    <w:sectPr w:rsidR="007120BB" w:rsidRPr="001130E8" w:rsidSect="006B09B9">
      <w:headerReference w:type="default" r:id="rId9"/>
      <w:footerReference w:type="default" r:id="rId10"/>
      <w:pgSz w:w="12240" w:h="15840"/>
      <w:pgMar w:top="1440" w:right="474" w:bottom="993" w:left="70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197BC" w14:textId="77777777" w:rsidR="00307511" w:rsidRDefault="00307511" w:rsidP="009F1357">
      <w:r>
        <w:separator/>
      </w:r>
    </w:p>
  </w:endnote>
  <w:endnote w:type="continuationSeparator" w:id="0">
    <w:p w14:paraId="0761B261" w14:textId="77777777" w:rsidR="00307511" w:rsidRDefault="00307511" w:rsidP="009F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81AD" w14:textId="2312E08E" w:rsidR="00934D2A" w:rsidRDefault="00934D2A" w:rsidP="00880907">
    <w:pPr>
      <w:pStyle w:val="Rodap"/>
      <w:ind w:left="-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4399C" w14:textId="77777777" w:rsidR="00307511" w:rsidRDefault="00307511" w:rsidP="009F1357">
      <w:r>
        <w:separator/>
      </w:r>
    </w:p>
  </w:footnote>
  <w:footnote w:type="continuationSeparator" w:id="0">
    <w:p w14:paraId="64500104" w14:textId="77777777" w:rsidR="00307511" w:rsidRDefault="00307511" w:rsidP="009F1357">
      <w:r>
        <w:continuationSeparator/>
      </w:r>
    </w:p>
  </w:footnote>
  <w:footnote w:id="1">
    <w:p w14:paraId="3C01043D" w14:textId="500B4C5D" w:rsidR="00934D2A" w:rsidRPr="00245D68" w:rsidRDefault="00934D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45D68">
        <w:rPr>
          <w:lang w:val="pt-BR"/>
        </w:rPr>
        <w:t xml:space="preserve"> </w:t>
      </w:r>
      <w:r>
        <w:rPr>
          <w:lang w:val="pt-BR"/>
        </w:rPr>
        <w:t>Utilizou-se os dados do Decreto N° 7.390/2010, regulamentador da Política Nacional de Mudanças Climáticas (Lei N° 12.187/2009), para os cálculos dos valores apresentados.</w:t>
      </w:r>
    </w:p>
  </w:footnote>
  <w:footnote w:id="2">
    <w:p w14:paraId="27B9A961" w14:textId="4CB1A3C6" w:rsidR="00934D2A" w:rsidRPr="00AC5F24" w:rsidRDefault="00934D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t>Esta</w:t>
      </w:r>
      <w:proofErr w:type="spellEnd"/>
      <w:r>
        <w:t xml:space="preserve"> carta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no </w:t>
      </w:r>
      <w:proofErr w:type="spellStart"/>
      <w:r>
        <w:t>Anexo</w:t>
      </w:r>
      <w:proofErr w:type="spellEnd"/>
      <w:r>
        <w:t xml:space="preserve"> do </w:t>
      </w:r>
      <w:proofErr w:type="spellStart"/>
      <w:r>
        <w:t>Relatório</w:t>
      </w:r>
      <w:proofErr w:type="spellEnd"/>
      <w:r>
        <w:t xml:space="preserve"> ‘</w:t>
      </w:r>
      <w:proofErr w:type="spellStart"/>
      <w:r>
        <w:t>Contribuições</w:t>
      </w:r>
      <w:proofErr w:type="spellEnd"/>
      <w:r>
        <w:t xml:space="preserve"> para a </w:t>
      </w:r>
      <w:proofErr w:type="spellStart"/>
      <w:r>
        <w:t>Estratégia</w:t>
      </w:r>
      <w:proofErr w:type="spellEnd"/>
      <w:r>
        <w:t xml:space="preserve"> Nacional de REDD+: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alocação</w:t>
      </w:r>
      <w:proofErr w:type="spellEnd"/>
      <w:r>
        <w:t xml:space="preserve"> entre </w:t>
      </w:r>
      <w:proofErr w:type="spellStart"/>
      <w:r>
        <w:t>Estados</w:t>
      </w:r>
      <w:proofErr w:type="spellEnd"/>
      <w:r>
        <w:t xml:space="preserve"> e </w:t>
      </w:r>
      <w:proofErr w:type="spellStart"/>
      <w:r>
        <w:t>União</w:t>
      </w:r>
      <w:proofErr w:type="spellEnd"/>
      <w:r>
        <w:t xml:space="preserve">’,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hyperlink r:id="rId1" w:history="1">
        <w:r w:rsidRPr="0084409E">
          <w:rPr>
            <w:rStyle w:val="Hyperlink"/>
          </w:rPr>
          <w:t>http://idesam.org.br/publicacao/contribuicoes-para-estrategia-nacional-redd-2-edicao.pdf</w:t>
        </w:r>
      </w:hyperlink>
      <w:r>
        <w:t xml:space="preserve"> </w:t>
      </w:r>
    </w:p>
  </w:footnote>
  <w:footnote w:id="3">
    <w:p w14:paraId="091099BD" w14:textId="334058E4" w:rsidR="00934D2A" w:rsidRPr="005E6FF4" w:rsidRDefault="00934D2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5E6FF4">
        <w:rPr>
          <w:lang w:val="pt-BR"/>
        </w:rPr>
        <w:t xml:space="preserve"> GCF - Força Tarefa de Governadores para o Clima e Florestas </w:t>
      </w:r>
      <w:proofErr w:type="gramStart"/>
      <w:r w:rsidRPr="005E6FF4">
        <w:rPr>
          <w:lang w:val="pt-BR"/>
        </w:rPr>
        <w:t>Proposta de alocação das reduções de emissões “U-REDD” nos estados brasileiros</w:t>
      </w:r>
      <w:proofErr w:type="gramEnd"/>
      <w:r w:rsidRPr="005E6FF4">
        <w:rPr>
          <w:lang w:val="pt-BR"/>
        </w:rPr>
        <w:t xml:space="preserve"> membros do GCF. 2ª Edição - Revista e Atualizada. / organizado por Mariano C. </w:t>
      </w:r>
      <w:proofErr w:type="spellStart"/>
      <w:r w:rsidRPr="005E6FF4">
        <w:rPr>
          <w:lang w:val="pt-BR"/>
        </w:rPr>
        <w:t>Cenamo</w:t>
      </w:r>
      <w:proofErr w:type="spellEnd"/>
      <w:r w:rsidRPr="005E6FF4">
        <w:rPr>
          <w:lang w:val="pt-BR"/>
        </w:rPr>
        <w:t xml:space="preserve">; Pedro G. Soares; </w:t>
      </w:r>
      <w:proofErr w:type="spellStart"/>
      <w:r w:rsidRPr="005E6FF4">
        <w:rPr>
          <w:lang w:val="pt-BR"/>
        </w:rPr>
        <w:t>Junia</w:t>
      </w:r>
      <w:proofErr w:type="spellEnd"/>
      <w:r w:rsidRPr="005E6FF4">
        <w:rPr>
          <w:lang w:val="pt-BR"/>
        </w:rPr>
        <w:t xml:space="preserve"> </w:t>
      </w:r>
      <w:proofErr w:type="spellStart"/>
      <w:r w:rsidRPr="005E6FF4">
        <w:rPr>
          <w:lang w:val="pt-BR"/>
        </w:rPr>
        <w:t>Karst</w:t>
      </w:r>
      <w:proofErr w:type="spellEnd"/>
      <w:r w:rsidRPr="005E6FF4">
        <w:rPr>
          <w:lang w:val="pt-BR"/>
        </w:rPr>
        <w:t>. - Manaus: IDESAM, 2014.</w:t>
      </w:r>
      <w:r>
        <w:rPr>
          <w:lang w:val="pt-BR"/>
        </w:rPr>
        <w:t xml:space="preserve"> Disponível em </w:t>
      </w:r>
      <w:hyperlink r:id="rId2" w:history="1">
        <w:r w:rsidRPr="00220E50">
          <w:rPr>
            <w:rStyle w:val="Hyperlink"/>
            <w:lang w:val="pt-BR"/>
          </w:rPr>
          <w:t>http://www.idesam.org.br/publicacao/contribuicoes-para-estrategia-nacional-redd-2-edicao.pdf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4FD5" w14:textId="77777777" w:rsidR="00934D2A" w:rsidRDefault="00934D2A" w:rsidP="00ED256B">
    <w:pPr>
      <w:pStyle w:val="Cabealho"/>
      <w:ind w:left="-1440"/>
      <w:jc w:val="center"/>
    </w:pPr>
  </w:p>
  <w:p w14:paraId="2067BCAE" w14:textId="5F44CFB8" w:rsidR="00934D2A" w:rsidRDefault="00934D2A" w:rsidP="00ED256B">
    <w:pPr>
      <w:pStyle w:val="Cabealho"/>
      <w:ind w:left="-1440"/>
      <w:jc w:val="center"/>
    </w:pPr>
    <w:r w:rsidRPr="00ED256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B42EF4B" wp14:editId="7DB1B9EC">
          <wp:simplePos x="0" y="0"/>
          <wp:positionH relativeFrom="margin">
            <wp:align>center</wp:align>
          </wp:positionH>
          <wp:positionV relativeFrom="paragraph">
            <wp:posOffset>80645</wp:posOffset>
          </wp:positionV>
          <wp:extent cx="5612130" cy="519430"/>
          <wp:effectExtent l="0" t="0" r="7620" b="0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6" t="16256" r="57924" b="74676"/>
                  <a:stretch/>
                </pic:blipFill>
                <pic:spPr bwMode="auto">
                  <a:xfrm>
                    <a:off x="0" y="0"/>
                    <a:ext cx="56121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FF"/>
    <w:multiLevelType w:val="hybridMultilevel"/>
    <w:tmpl w:val="68BC93B4"/>
    <w:lvl w:ilvl="0" w:tplc="27843C0E">
      <w:start w:val="1"/>
      <w:numFmt w:val="decimal"/>
      <w:lvlText w:val="%1)"/>
      <w:lvlJc w:val="left"/>
      <w:pPr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9387F57"/>
    <w:multiLevelType w:val="hybridMultilevel"/>
    <w:tmpl w:val="0A500384"/>
    <w:lvl w:ilvl="0" w:tplc="C4301CD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3330B34"/>
    <w:multiLevelType w:val="hybridMultilevel"/>
    <w:tmpl w:val="EE5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DC0"/>
    <w:multiLevelType w:val="hybridMultilevel"/>
    <w:tmpl w:val="65D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D5"/>
    <w:rsid w:val="00010AF9"/>
    <w:rsid w:val="00015FF7"/>
    <w:rsid w:val="0002081E"/>
    <w:rsid w:val="00031EB1"/>
    <w:rsid w:val="000771EE"/>
    <w:rsid w:val="00082647"/>
    <w:rsid w:val="000B16F7"/>
    <w:rsid w:val="000C6D9C"/>
    <w:rsid w:val="001020C1"/>
    <w:rsid w:val="001130E8"/>
    <w:rsid w:val="00176EF7"/>
    <w:rsid w:val="00190929"/>
    <w:rsid w:val="001B0B4E"/>
    <w:rsid w:val="001B2F2F"/>
    <w:rsid w:val="001B55C5"/>
    <w:rsid w:val="001C7E92"/>
    <w:rsid w:val="001E1F33"/>
    <w:rsid w:val="002012AB"/>
    <w:rsid w:val="00213B53"/>
    <w:rsid w:val="0024328C"/>
    <w:rsid w:val="00245D68"/>
    <w:rsid w:val="002574C3"/>
    <w:rsid w:val="002C653D"/>
    <w:rsid w:val="002D7347"/>
    <w:rsid w:val="00307511"/>
    <w:rsid w:val="003109BA"/>
    <w:rsid w:val="0034577F"/>
    <w:rsid w:val="003457DF"/>
    <w:rsid w:val="00362D1C"/>
    <w:rsid w:val="0037461A"/>
    <w:rsid w:val="0038426F"/>
    <w:rsid w:val="00387945"/>
    <w:rsid w:val="003B1949"/>
    <w:rsid w:val="003D09FE"/>
    <w:rsid w:val="003F1676"/>
    <w:rsid w:val="00401D20"/>
    <w:rsid w:val="00414470"/>
    <w:rsid w:val="00424BF0"/>
    <w:rsid w:val="00440CA9"/>
    <w:rsid w:val="004764DD"/>
    <w:rsid w:val="00492033"/>
    <w:rsid w:val="004A5570"/>
    <w:rsid w:val="004D3596"/>
    <w:rsid w:val="004E20FF"/>
    <w:rsid w:val="004F06EB"/>
    <w:rsid w:val="0050720C"/>
    <w:rsid w:val="00511ACF"/>
    <w:rsid w:val="00524FF4"/>
    <w:rsid w:val="005307A1"/>
    <w:rsid w:val="00530966"/>
    <w:rsid w:val="005330CD"/>
    <w:rsid w:val="005550D5"/>
    <w:rsid w:val="00573C43"/>
    <w:rsid w:val="00587BC5"/>
    <w:rsid w:val="00596D33"/>
    <w:rsid w:val="005A14D3"/>
    <w:rsid w:val="005B7414"/>
    <w:rsid w:val="005C0EBD"/>
    <w:rsid w:val="005D2296"/>
    <w:rsid w:val="005E6FF4"/>
    <w:rsid w:val="00602C8F"/>
    <w:rsid w:val="00606D6F"/>
    <w:rsid w:val="00620EE8"/>
    <w:rsid w:val="0065091D"/>
    <w:rsid w:val="0066734F"/>
    <w:rsid w:val="00687B73"/>
    <w:rsid w:val="00692F2E"/>
    <w:rsid w:val="006B09B9"/>
    <w:rsid w:val="006C19FB"/>
    <w:rsid w:val="006C307B"/>
    <w:rsid w:val="006F07A3"/>
    <w:rsid w:val="006F2FD5"/>
    <w:rsid w:val="00702592"/>
    <w:rsid w:val="007120BB"/>
    <w:rsid w:val="0073117A"/>
    <w:rsid w:val="0074372A"/>
    <w:rsid w:val="00773457"/>
    <w:rsid w:val="007C60AA"/>
    <w:rsid w:val="007C7BCA"/>
    <w:rsid w:val="007D2EDC"/>
    <w:rsid w:val="007F5E04"/>
    <w:rsid w:val="008037DC"/>
    <w:rsid w:val="00832357"/>
    <w:rsid w:val="00867446"/>
    <w:rsid w:val="008746DD"/>
    <w:rsid w:val="0088024F"/>
    <w:rsid w:val="00880907"/>
    <w:rsid w:val="008A1B32"/>
    <w:rsid w:val="008A63BE"/>
    <w:rsid w:val="008C7867"/>
    <w:rsid w:val="008E08C1"/>
    <w:rsid w:val="00934D2A"/>
    <w:rsid w:val="0093600C"/>
    <w:rsid w:val="0094478F"/>
    <w:rsid w:val="00967E7C"/>
    <w:rsid w:val="00977A46"/>
    <w:rsid w:val="009966D3"/>
    <w:rsid w:val="009B58B6"/>
    <w:rsid w:val="009C4E93"/>
    <w:rsid w:val="009D731C"/>
    <w:rsid w:val="009E4F5D"/>
    <w:rsid w:val="009F1357"/>
    <w:rsid w:val="009F1A4C"/>
    <w:rsid w:val="009F62BB"/>
    <w:rsid w:val="009F747F"/>
    <w:rsid w:val="00A159CA"/>
    <w:rsid w:val="00A62A09"/>
    <w:rsid w:val="00A82880"/>
    <w:rsid w:val="00A937DC"/>
    <w:rsid w:val="00AA3D96"/>
    <w:rsid w:val="00AC5F24"/>
    <w:rsid w:val="00AF3D76"/>
    <w:rsid w:val="00B231E6"/>
    <w:rsid w:val="00B2432B"/>
    <w:rsid w:val="00B33849"/>
    <w:rsid w:val="00B37376"/>
    <w:rsid w:val="00B4513A"/>
    <w:rsid w:val="00B72217"/>
    <w:rsid w:val="00B77152"/>
    <w:rsid w:val="00B90E98"/>
    <w:rsid w:val="00BA6949"/>
    <w:rsid w:val="00BC1E89"/>
    <w:rsid w:val="00BD414D"/>
    <w:rsid w:val="00BE3E38"/>
    <w:rsid w:val="00BE435D"/>
    <w:rsid w:val="00BF5A09"/>
    <w:rsid w:val="00C21C0B"/>
    <w:rsid w:val="00C2495D"/>
    <w:rsid w:val="00C573A2"/>
    <w:rsid w:val="00C57BFF"/>
    <w:rsid w:val="00C645CF"/>
    <w:rsid w:val="00C737E5"/>
    <w:rsid w:val="00D10845"/>
    <w:rsid w:val="00D43CC8"/>
    <w:rsid w:val="00D575A6"/>
    <w:rsid w:val="00DB2B4D"/>
    <w:rsid w:val="00DB3054"/>
    <w:rsid w:val="00DC1238"/>
    <w:rsid w:val="00DD476D"/>
    <w:rsid w:val="00DF42F4"/>
    <w:rsid w:val="00E21777"/>
    <w:rsid w:val="00E36267"/>
    <w:rsid w:val="00E579D7"/>
    <w:rsid w:val="00E6408D"/>
    <w:rsid w:val="00E706A8"/>
    <w:rsid w:val="00EB2C08"/>
    <w:rsid w:val="00ED256B"/>
    <w:rsid w:val="00F0598B"/>
    <w:rsid w:val="00F12052"/>
    <w:rsid w:val="00F20146"/>
    <w:rsid w:val="00F2219A"/>
    <w:rsid w:val="00F56A36"/>
    <w:rsid w:val="00F87D7E"/>
    <w:rsid w:val="00FB4360"/>
    <w:rsid w:val="00FB5364"/>
    <w:rsid w:val="00FC3463"/>
    <w:rsid w:val="00FE5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3BC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4C5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7B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BC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87B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87BC5"/>
    <w:rPr>
      <w:sz w:val="24"/>
      <w:szCs w:val="24"/>
    </w:rPr>
  </w:style>
  <w:style w:type="paragraph" w:customStyle="1" w:styleId="Default">
    <w:name w:val="Default"/>
    <w:rsid w:val="008A1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22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0146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5D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5D68"/>
  </w:style>
  <w:style w:type="character" w:styleId="Refdenotaderodap">
    <w:name w:val="footnote reference"/>
    <w:basedOn w:val="Fontepargpadro"/>
    <w:uiPriority w:val="99"/>
    <w:semiHidden/>
    <w:unhideWhenUsed/>
    <w:rsid w:val="00245D6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737E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37E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37E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37E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37E5"/>
    <w:rPr>
      <w:b/>
      <w:bCs/>
      <w:sz w:val="24"/>
      <w:szCs w:val="24"/>
    </w:rPr>
  </w:style>
  <w:style w:type="paragraph" w:styleId="Reviso">
    <w:name w:val="Revision"/>
    <w:hidden/>
    <w:uiPriority w:val="99"/>
    <w:semiHidden/>
    <w:rsid w:val="00E36267"/>
    <w:rPr>
      <w:sz w:val="24"/>
      <w:szCs w:val="24"/>
    </w:rPr>
  </w:style>
  <w:style w:type="table" w:styleId="Tabelacomgrade">
    <w:name w:val="Table Grid"/>
    <w:basedOn w:val="Tabelanormal"/>
    <w:uiPriority w:val="59"/>
    <w:rsid w:val="00AC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4C54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7B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BC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87B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87BC5"/>
    <w:rPr>
      <w:sz w:val="24"/>
      <w:szCs w:val="24"/>
    </w:rPr>
  </w:style>
  <w:style w:type="paragraph" w:customStyle="1" w:styleId="Default">
    <w:name w:val="Default"/>
    <w:rsid w:val="008A1B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22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0146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5D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5D68"/>
  </w:style>
  <w:style w:type="character" w:styleId="Refdenotaderodap">
    <w:name w:val="footnote reference"/>
    <w:basedOn w:val="Fontepargpadro"/>
    <w:uiPriority w:val="99"/>
    <w:semiHidden/>
    <w:unhideWhenUsed/>
    <w:rsid w:val="00245D6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737E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37E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37E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37E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37E5"/>
    <w:rPr>
      <w:b/>
      <w:bCs/>
      <w:sz w:val="24"/>
      <w:szCs w:val="24"/>
    </w:rPr>
  </w:style>
  <w:style w:type="paragraph" w:styleId="Reviso">
    <w:name w:val="Revision"/>
    <w:hidden/>
    <w:uiPriority w:val="99"/>
    <w:semiHidden/>
    <w:rsid w:val="00E36267"/>
    <w:rPr>
      <w:sz w:val="24"/>
      <w:szCs w:val="24"/>
    </w:rPr>
  </w:style>
  <w:style w:type="table" w:styleId="Tabelacomgrade">
    <w:name w:val="Table Grid"/>
    <w:basedOn w:val="Tabelanormal"/>
    <w:uiPriority w:val="59"/>
    <w:rsid w:val="00AC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sam.org.br/publicacao/contribuicoes-para-estrategia-nacional-redd-2-edicao.pdf" TargetMode="External"/><Relationship Id="rId1" Type="http://schemas.openxmlformats.org/officeDocument/2006/relationships/hyperlink" Target="http://idesam.org.br/publicacao/contribuicoes-para-estrategia-nacional-redd-2-edica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3560-45EC-4BAD-AE81-4338D5DF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1522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BeeSpring Designs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Bravdica</dc:creator>
  <cp:lastModifiedBy>Ramiro</cp:lastModifiedBy>
  <cp:revision>2</cp:revision>
  <dcterms:created xsi:type="dcterms:W3CDTF">2015-05-30T01:53:00Z</dcterms:created>
  <dcterms:modified xsi:type="dcterms:W3CDTF">2015-05-30T01:53:00Z</dcterms:modified>
</cp:coreProperties>
</file>