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5" w:rsidRPr="00D55465" w:rsidRDefault="00D55465" w:rsidP="00D55465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D55465">
        <w:rPr>
          <w:rFonts w:ascii="Arial" w:hAnsi="Arial" w:cs="Arial"/>
          <w:b/>
          <w:sz w:val="36"/>
          <w:szCs w:val="36"/>
        </w:rPr>
        <w:t>Cenário e perspectivas para o agronegócio da pecuária tocantinense</w:t>
      </w:r>
    </w:p>
    <w:p w:rsidR="00D55465" w:rsidRDefault="00D55465" w:rsidP="0043399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55465" w:rsidRDefault="00D55465" w:rsidP="00D5546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de autoria da </w:t>
      </w:r>
      <w:r w:rsidRPr="00D55465">
        <w:rPr>
          <w:rFonts w:ascii="Arial" w:hAnsi="Arial" w:cs="Arial"/>
          <w:sz w:val="24"/>
          <w:szCs w:val="24"/>
        </w:rPr>
        <w:t>Diretora de Políticas para a Pecuária</w:t>
      </w:r>
      <w:r>
        <w:rPr>
          <w:rFonts w:ascii="Arial" w:hAnsi="Arial" w:cs="Arial"/>
          <w:sz w:val="24"/>
          <w:szCs w:val="24"/>
        </w:rPr>
        <w:t xml:space="preserve"> da Secretaria do Desenvolvimento da Agricultura e Pecuária (</w:t>
      </w:r>
      <w:proofErr w:type="spellStart"/>
      <w:r>
        <w:rPr>
          <w:rFonts w:ascii="Arial" w:hAnsi="Arial" w:cs="Arial"/>
          <w:sz w:val="24"/>
          <w:szCs w:val="24"/>
        </w:rPr>
        <w:t>Seagro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 w:rsidRPr="00D55465">
        <w:rPr>
          <w:rFonts w:ascii="Arial" w:hAnsi="Arial" w:cs="Arial"/>
          <w:sz w:val="24"/>
          <w:szCs w:val="24"/>
        </w:rPr>
        <w:t>Erika Jardim</w:t>
      </w:r>
      <w:r>
        <w:rPr>
          <w:rFonts w:ascii="Arial" w:hAnsi="Arial" w:cs="Arial"/>
          <w:sz w:val="24"/>
          <w:szCs w:val="24"/>
        </w:rPr>
        <w:t>. Médica veterinária, e</w:t>
      </w:r>
      <w:r w:rsidRPr="00D55465">
        <w:rPr>
          <w:rFonts w:ascii="Arial" w:hAnsi="Arial" w:cs="Arial"/>
          <w:sz w:val="24"/>
          <w:szCs w:val="24"/>
        </w:rPr>
        <w:t>specialista em Comércio Exterior</w:t>
      </w:r>
      <w:r>
        <w:rPr>
          <w:rFonts w:ascii="Arial" w:hAnsi="Arial" w:cs="Arial"/>
          <w:sz w:val="24"/>
          <w:szCs w:val="24"/>
        </w:rPr>
        <w:t xml:space="preserve"> e e</w:t>
      </w:r>
      <w:r w:rsidRPr="00D55465">
        <w:rPr>
          <w:rFonts w:ascii="Arial" w:hAnsi="Arial" w:cs="Arial"/>
          <w:sz w:val="24"/>
          <w:szCs w:val="24"/>
        </w:rPr>
        <w:t>specialista em Agente de Difusão e inovação Tecnológica</w:t>
      </w:r>
      <w:r>
        <w:rPr>
          <w:rFonts w:ascii="Arial" w:hAnsi="Arial" w:cs="Arial"/>
          <w:sz w:val="24"/>
          <w:szCs w:val="24"/>
        </w:rPr>
        <w:t>.</w:t>
      </w:r>
    </w:p>
    <w:p w:rsidR="00D55465" w:rsidRDefault="00D55465" w:rsidP="0043399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24F5B" w:rsidRDefault="00224F5B" w:rsidP="0043399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24F5B">
        <w:rPr>
          <w:rFonts w:ascii="Arial" w:hAnsi="Arial" w:cs="Arial"/>
          <w:sz w:val="24"/>
          <w:szCs w:val="24"/>
        </w:rPr>
        <w:t xml:space="preserve">O Estado do Tocantins tem 13.852.070 </w:t>
      </w:r>
      <w:r w:rsidR="00D55465">
        <w:rPr>
          <w:rFonts w:ascii="Arial" w:hAnsi="Arial" w:cs="Arial"/>
          <w:sz w:val="24"/>
          <w:szCs w:val="24"/>
        </w:rPr>
        <w:t>hectares (ha)</w:t>
      </w:r>
      <w:r w:rsidRPr="00224F5B">
        <w:rPr>
          <w:rFonts w:ascii="Arial" w:hAnsi="Arial" w:cs="Arial"/>
          <w:sz w:val="24"/>
          <w:szCs w:val="24"/>
        </w:rPr>
        <w:t xml:space="preserve"> aptos para a produção agropecuária, o que corresponde à cerca 50% do seu território, parte desta área está ocupada hoje com aproximadamente 7.500.000 ha de pastagens e 1,06 milhões ha com produção agrícola, restando 5.361.350 ha a serem explorados. Ressaltamos que segundo estudos da Embrapa (2010) estima-se que em torno de </w:t>
      </w:r>
      <w:proofErr w:type="gramStart"/>
      <w:r w:rsidRPr="00224F5B">
        <w:rPr>
          <w:rFonts w:ascii="Arial" w:hAnsi="Arial" w:cs="Arial"/>
          <w:sz w:val="24"/>
          <w:szCs w:val="24"/>
        </w:rPr>
        <w:t>5</w:t>
      </w:r>
      <w:proofErr w:type="gramEnd"/>
      <w:r w:rsidRPr="00224F5B">
        <w:rPr>
          <w:rFonts w:ascii="Arial" w:hAnsi="Arial" w:cs="Arial"/>
          <w:sz w:val="24"/>
          <w:szCs w:val="24"/>
        </w:rPr>
        <w:t xml:space="preserve"> milhões de hectares de pastagens, encontram-se em fase de degradação. O estado possui um plano de preservação ambiental bem definido e cerca de 87% do seu território faz parte do Bioma Cerrado.</w:t>
      </w:r>
    </w:p>
    <w:p w:rsidR="003B6251" w:rsidRDefault="003B6251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Tocantins, da mesma forma que o País, tem investido cada vez mais em eficiência e competitividade em setores com forte potencial de crescimento, especialmente o agronegócio e a agroindústria. </w:t>
      </w:r>
    </w:p>
    <w:p w:rsidR="003B6251" w:rsidRDefault="008A03C2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1F6">
        <w:rPr>
          <w:rFonts w:ascii="Arial" w:hAnsi="Arial" w:cs="Arial"/>
          <w:sz w:val="24"/>
          <w:szCs w:val="24"/>
        </w:rPr>
        <w:t xml:space="preserve">O agronegócio </w:t>
      </w:r>
      <w:r w:rsidR="005E51F6" w:rsidRPr="005E51F6">
        <w:rPr>
          <w:rFonts w:ascii="Arial" w:hAnsi="Arial" w:cs="Arial"/>
          <w:sz w:val="24"/>
          <w:szCs w:val="24"/>
        </w:rPr>
        <w:t>tocantinense caminha para a sustentabilidade, focado na melhoria da produtividade por meio da inovação tecnológica sistemática e da inclusão social das comunidades rurais</w:t>
      </w:r>
      <w:r w:rsidR="00D8207F">
        <w:rPr>
          <w:rFonts w:ascii="Arial" w:hAnsi="Arial" w:cs="Arial"/>
          <w:sz w:val="24"/>
          <w:szCs w:val="24"/>
        </w:rPr>
        <w:t>, já que seu bom desempenho pode contribuir significativamente para garantir a melhoria na distribuição de renda e na redução da pobreza, especialmente na região do MATOPIBA</w:t>
      </w:r>
      <w:r w:rsidR="005E51F6" w:rsidRPr="005E51F6">
        <w:rPr>
          <w:rFonts w:ascii="Arial" w:hAnsi="Arial" w:cs="Arial"/>
          <w:sz w:val="24"/>
          <w:szCs w:val="24"/>
        </w:rPr>
        <w:t>.</w:t>
      </w:r>
      <w:r w:rsidR="003B6251">
        <w:rPr>
          <w:rFonts w:ascii="Arial" w:hAnsi="Arial" w:cs="Arial"/>
          <w:sz w:val="24"/>
          <w:szCs w:val="24"/>
        </w:rPr>
        <w:t xml:space="preserve"> Sendo um setor estratégico para o Estado, deverá ter um olhar </w:t>
      </w:r>
      <w:r w:rsidR="007E0D47">
        <w:rPr>
          <w:rFonts w:ascii="Arial" w:hAnsi="Arial" w:cs="Arial"/>
          <w:sz w:val="24"/>
          <w:szCs w:val="24"/>
        </w:rPr>
        <w:t xml:space="preserve">focado </w:t>
      </w:r>
      <w:r w:rsidR="003B6251">
        <w:rPr>
          <w:rFonts w:ascii="Arial" w:hAnsi="Arial" w:cs="Arial"/>
          <w:sz w:val="24"/>
          <w:szCs w:val="24"/>
        </w:rPr>
        <w:t xml:space="preserve">do Governo de maneira a ser cada vez mais representativo </w:t>
      </w:r>
      <w:proofErr w:type="gramStart"/>
      <w:r w:rsidR="003B6251">
        <w:rPr>
          <w:rFonts w:ascii="Arial" w:hAnsi="Arial" w:cs="Arial"/>
          <w:sz w:val="24"/>
          <w:szCs w:val="24"/>
        </w:rPr>
        <w:t>na</w:t>
      </w:r>
      <w:proofErr w:type="gramEnd"/>
      <w:r w:rsidR="003B62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6251">
        <w:rPr>
          <w:rFonts w:ascii="Arial" w:hAnsi="Arial" w:cs="Arial"/>
          <w:sz w:val="24"/>
          <w:szCs w:val="24"/>
        </w:rPr>
        <w:t>economia</w:t>
      </w:r>
      <w:proofErr w:type="gramEnd"/>
      <w:r w:rsidR="003B6251">
        <w:rPr>
          <w:rFonts w:ascii="Arial" w:hAnsi="Arial" w:cs="Arial"/>
          <w:sz w:val="24"/>
          <w:szCs w:val="24"/>
        </w:rPr>
        <w:t xml:space="preserve"> tocantinense contribuindo mais expressivamente com o PIB do Estado.</w:t>
      </w:r>
    </w:p>
    <w:p w:rsidR="005E51F6" w:rsidRDefault="005E51F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1F6">
        <w:rPr>
          <w:rFonts w:ascii="Arial" w:hAnsi="Arial" w:cs="Arial"/>
          <w:sz w:val="24"/>
          <w:szCs w:val="24"/>
        </w:rPr>
        <w:t xml:space="preserve">Os produtos que deverão ter maior expressividade em termos de potencial de crescimento para os próximos anos são: soja em grão, carne de frango, carne suína, algodão, cana-de-açúcar, e silvicultura. O mercado interno e a demanda internacional serão os principais fatores de crescimento para a maior parte desses produtos. Contudo, esse potencial só se tornará efetivo </w:t>
      </w:r>
      <w:r w:rsidRPr="005E51F6">
        <w:rPr>
          <w:rFonts w:ascii="Arial" w:hAnsi="Arial" w:cs="Arial"/>
          <w:sz w:val="24"/>
          <w:szCs w:val="24"/>
        </w:rPr>
        <w:lastRenderedPageBreak/>
        <w:t>com investimentos massivos em pesquisa e tecnologia, bem como em logística e infraestrutura.</w:t>
      </w:r>
    </w:p>
    <w:p w:rsidR="00433992" w:rsidRDefault="00433992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Tocantins tem como principais atividades econômicas a criação de gado bovino de corte. Em 2015 o estado conta com 7,5 milhões de hectares de pastagens e com um rebanho de 8</w:t>
      </w:r>
      <w:r w:rsidR="00034461">
        <w:rPr>
          <w:rFonts w:ascii="Arial" w:hAnsi="Arial" w:cs="Arial"/>
          <w:sz w:val="24"/>
          <w:szCs w:val="24"/>
        </w:rPr>
        <w:t>.180.224</w:t>
      </w:r>
      <w:r>
        <w:rPr>
          <w:rFonts w:ascii="Arial" w:hAnsi="Arial" w:cs="Arial"/>
          <w:sz w:val="24"/>
          <w:szCs w:val="24"/>
        </w:rPr>
        <w:t xml:space="preserve"> cabeças, o que o faz ocupar a décima primeira colocação no ranking nacional atrás do Pará, Bahia, Paraná, São Paulo, Rio Grande do Sul, Mato Grosso,</w:t>
      </w:r>
      <w:r w:rsidR="003972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Goiás, Mato Grosso do Sul e Minas Gerais. Pode-se destacar a presença das raças GIR, para corte e leite e </w:t>
      </w:r>
      <w:r w:rsidR="00052B7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elore, para corte, que representam, aproximadamente, 86 % do rebanho total.</w:t>
      </w:r>
    </w:p>
    <w:p w:rsidR="00B579B6" w:rsidRDefault="00B579B6" w:rsidP="00B579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região norte do estado especialmente o município de Araguaína é a que se destaca na engorda de bovinos e a região sul é mais especializada na produção de bezerros – cria e recria. Os principais municípios produtores de bovinos são:</w:t>
      </w:r>
    </w:p>
    <w:tbl>
      <w:tblPr>
        <w:tblW w:w="9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60"/>
        <w:gridCol w:w="2120"/>
      </w:tblGrid>
      <w:tr w:rsidR="00B579B6" w:rsidRPr="00093DE8" w:rsidTr="00A630C4">
        <w:trPr>
          <w:trHeight w:val="539"/>
        </w:trPr>
        <w:tc>
          <w:tcPr>
            <w:tcW w:w="7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Araguaçu - TO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278.168</w:t>
            </w:r>
          </w:p>
        </w:tc>
      </w:tr>
      <w:tr w:rsidR="00B579B6" w:rsidRPr="00093DE8" w:rsidTr="00A630C4">
        <w:trPr>
          <w:trHeight w:val="595"/>
        </w:trPr>
        <w:tc>
          <w:tcPr>
            <w:tcW w:w="7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Araguaína - TO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223.985</w:t>
            </w:r>
          </w:p>
        </w:tc>
      </w:tr>
      <w:tr w:rsidR="00B579B6" w:rsidRPr="00093DE8" w:rsidTr="00A630C4">
        <w:trPr>
          <w:trHeight w:val="539"/>
        </w:trPr>
        <w:tc>
          <w:tcPr>
            <w:tcW w:w="7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Formoso do Araguaia - TO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218.744</w:t>
            </w:r>
          </w:p>
        </w:tc>
      </w:tr>
      <w:tr w:rsidR="00B579B6" w:rsidRPr="00093DE8" w:rsidTr="00A630C4">
        <w:trPr>
          <w:trHeight w:val="539"/>
        </w:trPr>
        <w:tc>
          <w:tcPr>
            <w:tcW w:w="7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Peixe - TO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189.944</w:t>
            </w:r>
          </w:p>
        </w:tc>
      </w:tr>
      <w:tr w:rsidR="00B579B6" w:rsidRPr="00093DE8" w:rsidTr="00A630C4">
        <w:trPr>
          <w:trHeight w:val="539"/>
        </w:trPr>
        <w:tc>
          <w:tcPr>
            <w:tcW w:w="7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Gurupi - TO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106.664</w:t>
            </w:r>
          </w:p>
        </w:tc>
      </w:tr>
      <w:tr w:rsidR="00B579B6" w:rsidRPr="00093DE8" w:rsidTr="00A630C4">
        <w:trPr>
          <w:trHeight w:val="539"/>
        </w:trPr>
        <w:tc>
          <w:tcPr>
            <w:tcW w:w="7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Paraíso do Tocantins - TO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79B6" w:rsidRPr="00093DE8" w:rsidRDefault="00B579B6" w:rsidP="00A6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DE8">
              <w:rPr>
                <w:rFonts w:ascii="Arial" w:hAnsi="Arial" w:cs="Arial"/>
                <w:sz w:val="24"/>
                <w:szCs w:val="24"/>
              </w:rPr>
              <w:t>91.104</w:t>
            </w:r>
          </w:p>
        </w:tc>
      </w:tr>
    </w:tbl>
    <w:p w:rsidR="00B579B6" w:rsidRDefault="00B579B6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AE28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 70 % do rebanho bovino e 75 % das pastagens estão ao longo da ferrovia Norte–Sul, pastagens estas localizadas em solos do tipo </w:t>
      </w:r>
      <w:proofErr w:type="spellStart"/>
      <w:r>
        <w:rPr>
          <w:rFonts w:ascii="Arial" w:hAnsi="Arial" w:cs="Arial"/>
          <w:sz w:val="24"/>
          <w:szCs w:val="24"/>
        </w:rPr>
        <w:t>latossolos</w:t>
      </w:r>
      <w:proofErr w:type="spellEnd"/>
      <w:r>
        <w:rPr>
          <w:rFonts w:ascii="Arial" w:hAnsi="Arial" w:cs="Arial"/>
          <w:sz w:val="24"/>
          <w:szCs w:val="24"/>
        </w:rPr>
        <w:t xml:space="preserve"> nas áreas mais altas, enquanto que nas áreas próximas às margens do rio Tocantins encontra-se solos classificados como </w:t>
      </w:r>
      <w:proofErr w:type="spellStart"/>
      <w:r>
        <w:rPr>
          <w:rFonts w:ascii="Arial" w:hAnsi="Arial" w:cs="Arial"/>
          <w:sz w:val="24"/>
          <w:szCs w:val="24"/>
        </w:rPr>
        <w:t>neossolos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gleissolos</w:t>
      </w:r>
      <w:proofErr w:type="spellEnd"/>
      <w:r>
        <w:rPr>
          <w:rFonts w:ascii="Arial" w:hAnsi="Arial" w:cs="Arial"/>
          <w:sz w:val="24"/>
          <w:szCs w:val="24"/>
        </w:rPr>
        <w:t>. O clima predominante no estado é tropical caracterizado por uma estação chuvosa (de outubro a abril) e outra seca (de maio a setembro).</w:t>
      </w:r>
    </w:p>
    <w:p w:rsidR="00AE28B9" w:rsidRDefault="00AE28B9" w:rsidP="00AE28B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Para os próximos anos a perspectiva é de aumento das exportações e de continuidade na abertura de novos mercados. Com o início das atividades da Ferrovia Norte-Sul, os fretes das cargas serão reduzidos em 30% e, através do Porto do Itaqui (MA), a produção do Estado estará mais próxima dos mercados da Europa e da África que os produtos do Sul e Sudeste do país. Portanto, com essa estrutura de transporte através de ferrovias, o Estado ganha destaque no escoamento da produção, principalmente com a </w:t>
      </w:r>
      <w:r>
        <w:rPr>
          <w:rFonts w:ascii="Arial" w:hAnsi="Arial" w:cs="Arial"/>
          <w:sz w:val="24"/>
          <w:szCs w:val="24"/>
        </w:rPr>
        <w:lastRenderedPageBreak/>
        <w:t>redução de custos, pois apresenta ao longo da ferrovia Norte–Sul, frigoríficos com Selo de Inspeção Federal, responsáveis pelas exportações de carne bovina.</w:t>
      </w:r>
    </w:p>
    <w:p w:rsidR="00AE28B9" w:rsidRDefault="00AE28B9" w:rsidP="00AE28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51F6">
        <w:rPr>
          <w:rFonts w:ascii="Arial" w:hAnsi="Arial" w:cs="Arial"/>
          <w:sz w:val="24"/>
          <w:szCs w:val="24"/>
        </w:rPr>
        <w:t xml:space="preserve">Em relação </w:t>
      </w:r>
      <w:proofErr w:type="gramStart"/>
      <w:r w:rsidRPr="005E51F6">
        <w:rPr>
          <w:rFonts w:ascii="Arial" w:hAnsi="Arial" w:cs="Arial"/>
          <w:sz w:val="24"/>
          <w:szCs w:val="24"/>
        </w:rPr>
        <w:t>à</w:t>
      </w:r>
      <w:proofErr w:type="gramEnd"/>
      <w:r w:rsidRPr="005E51F6">
        <w:rPr>
          <w:rFonts w:ascii="Arial" w:hAnsi="Arial" w:cs="Arial"/>
          <w:sz w:val="24"/>
          <w:szCs w:val="24"/>
        </w:rPr>
        <w:t xml:space="preserve"> pecuária o maior rebanho efetivo do Estado, </w:t>
      </w:r>
      <w:r w:rsidRPr="005E51F6">
        <w:rPr>
          <w:rFonts w:ascii="Arial" w:hAnsi="Arial" w:cs="Arial"/>
          <w:color w:val="000000" w:themeColor="text1"/>
          <w:sz w:val="24"/>
          <w:szCs w:val="24"/>
        </w:rPr>
        <w:t>em 201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5E51F6">
        <w:rPr>
          <w:rFonts w:ascii="Arial" w:hAnsi="Arial" w:cs="Arial"/>
          <w:color w:val="000000" w:themeColor="text1"/>
          <w:sz w:val="24"/>
          <w:szCs w:val="24"/>
        </w:rPr>
        <w:t xml:space="preserve">, foi </w:t>
      </w:r>
      <w:r w:rsidRPr="005E51F6">
        <w:rPr>
          <w:rFonts w:ascii="Arial" w:hAnsi="Arial" w:cs="Arial"/>
          <w:sz w:val="24"/>
          <w:szCs w:val="24"/>
        </w:rPr>
        <w:t>o de bovinos com</w:t>
      </w:r>
      <w:r w:rsidRPr="0055362A">
        <w:rPr>
          <w:rFonts w:ascii="Arial" w:hAnsi="Arial" w:cs="Arial"/>
          <w:sz w:val="24"/>
          <w:szCs w:val="24"/>
        </w:rPr>
        <w:t xml:space="preserve"> </w:t>
      </w:r>
      <w:r w:rsidR="0055362A" w:rsidRPr="0055362A">
        <w:rPr>
          <w:rFonts w:ascii="Arial" w:hAnsi="Arial" w:cs="Arial"/>
          <w:sz w:val="24"/>
          <w:szCs w:val="24"/>
        </w:rPr>
        <w:t>8.180.224</w:t>
      </w:r>
      <w:r w:rsidRPr="005E51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E51F6">
        <w:rPr>
          <w:rFonts w:ascii="Arial" w:hAnsi="Arial" w:cs="Arial"/>
          <w:sz w:val="24"/>
          <w:szCs w:val="24"/>
        </w:rPr>
        <w:t xml:space="preserve">cabeças, seguido pelas aves com </w:t>
      </w:r>
      <w:r w:rsidR="00B579B6">
        <w:rPr>
          <w:rFonts w:ascii="Arial" w:hAnsi="Arial" w:cs="Arial"/>
          <w:sz w:val="24"/>
          <w:szCs w:val="24"/>
        </w:rPr>
        <w:t>7.106.000</w:t>
      </w:r>
      <w:r w:rsidRPr="005E51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E51F6">
        <w:rPr>
          <w:rFonts w:ascii="Arial" w:hAnsi="Arial" w:cs="Arial"/>
          <w:sz w:val="24"/>
          <w:szCs w:val="24"/>
        </w:rPr>
        <w:t>cabeças</w:t>
      </w:r>
      <w:r w:rsidR="00B579B6">
        <w:rPr>
          <w:rFonts w:ascii="Arial" w:hAnsi="Arial" w:cs="Arial"/>
          <w:sz w:val="24"/>
          <w:szCs w:val="24"/>
        </w:rPr>
        <w:t>(capacidade estática)</w:t>
      </w:r>
      <w:r w:rsidRPr="005E51F6">
        <w:rPr>
          <w:rFonts w:ascii="Arial" w:hAnsi="Arial" w:cs="Arial"/>
          <w:sz w:val="24"/>
          <w:szCs w:val="24"/>
        </w:rPr>
        <w:t xml:space="preserve">. Neste período, o rebanho bovino representa o terceiro maior da Região Norte, atrás do Pará e de Rondônia, ao passo que o de </w:t>
      </w:r>
      <w:r w:rsidRPr="005E51F6">
        <w:rPr>
          <w:rFonts w:ascii="Arial" w:hAnsi="Arial" w:cs="Arial"/>
          <w:color w:val="000000" w:themeColor="text1"/>
          <w:sz w:val="24"/>
          <w:szCs w:val="24"/>
        </w:rPr>
        <w:t xml:space="preserve">aves 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Pr="005E51F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5E51F6">
        <w:rPr>
          <w:rFonts w:ascii="Arial" w:hAnsi="Arial" w:cs="Arial"/>
          <w:sz w:val="24"/>
          <w:szCs w:val="24"/>
        </w:rPr>
        <w:t xml:space="preserve"> segundo, perdendo apenas para o do estado do Pará.  </w:t>
      </w:r>
    </w:p>
    <w:p w:rsidR="00B579B6" w:rsidRDefault="00B579B6" w:rsidP="00AE28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5E10" w:rsidRDefault="00035E10" w:rsidP="00AE28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P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28B9">
        <w:rPr>
          <w:rFonts w:ascii="Arial" w:hAnsi="Arial" w:cs="Arial"/>
          <w:b/>
          <w:sz w:val="24"/>
          <w:szCs w:val="24"/>
        </w:rPr>
        <w:t>EVOLUÇÃO</w:t>
      </w:r>
    </w:p>
    <w:tbl>
      <w:tblPr>
        <w:tblpPr w:leftFromText="141" w:rightFromText="141" w:vertAnchor="text" w:horzAnchor="page" w:tblpX="638" w:tblpY="1279"/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606"/>
        <w:gridCol w:w="1134"/>
        <w:gridCol w:w="1134"/>
        <w:gridCol w:w="1276"/>
        <w:gridCol w:w="1276"/>
        <w:gridCol w:w="1275"/>
        <w:gridCol w:w="1144"/>
        <w:gridCol w:w="994"/>
        <w:gridCol w:w="981"/>
      </w:tblGrid>
      <w:tr w:rsidR="00150C50" w:rsidTr="00AE28B9">
        <w:trPr>
          <w:trHeight w:val="330"/>
        </w:trPr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PECUARIA</w:t>
            </w:r>
          </w:p>
        </w:tc>
        <w:tc>
          <w:tcPr>
            <w:tcW w:w="982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AE28B9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E28B9" w:rsidTr="00AE28B9">
        <w:trPr>
          <w:trHeight w:val="330"/>
        </w:trPr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C50" w:rsidRDefault="00150C50" w:rsidP="00AE2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14&gt;15(%)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10&gt;15 (%)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DB9F" w:fill="FDDB9F"/>
            <w:noWrap/>
            <w:vAlign w:val="bottom"/>
            <w:hideMark/>
          </w:tcPr>
          <w:p w:rsidR="00150C50" w:rsidRDefault="00B579B6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7.106.000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Bovinos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7.993.614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7.896.902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7.993.928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8.177.900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8.102.565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8.180.224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2,33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Bubalinos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-32,66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Ovinos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108.062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113.544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134.987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131.386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134.892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24,83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Caprinos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23.438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24.616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-2,19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Suinos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246.871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275.036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271.147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285.641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7,37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Equinos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203.391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229.721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265.944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264.012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274.297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34,86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 (Apicultura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kg.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124.827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237A38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118.497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Leite (1000 litros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355.498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269.890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69.248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8.012 ***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-88,43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-97,75</w:t>
            </w:r>
          </w:p>
        </w:tc>
      </w:tr>
      <w:tr w:rsidR="00AE28B9" w:rsidTr="00AE28B9">
        <w:trPr>
          <w:trHeight w:val="31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Couro**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3D69B" w:fill="C3D69B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9CDE5" w:fill="B9CDE5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AC090" w:fill="FAC090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1.413.652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686.226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DDB9F" w:fill="FDDB9F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2.914.000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324,64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242,82</w:t>
            </w:r>
          </w:p>
        </w:tc>
      </w:tr>
      <w:tr w:rsidR="00AE28B9" w:rsidTr="00035E10">
        <w:trPr>
          <w:trHeight w:val="315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C50" w:rsidRDefault="00AE28B9" w:rsidP="00AE28B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E28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 dados de 2015 (Janeiro - Agosto)</w:t>
            </w:r>
          </w:p>
          <w:p w:rsidR="00AE28B9" w:rsidRDefault="00AE28B9" w:rsidP="00AE28B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E28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** Fonte: MDIC balança comercial (Janeiro - Agosto)</w:t>
            </w:r>
          </w:p>
          <w:p w:rsidR="00AE28B9" w:rsidRDefault="00AE28B9" w:rsidP="00AE28B9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AE28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*** Corresponde aos </w:t>
            </w:r>
            <w:proofErr w:type="spellStart"/>
            <w:r w:rsidRPr="00AE28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latícinios</w:t>
            </w:r>
            <w:proofErr w:type="spellEnd"/>
            <w:r w:rsidRPr="00AE28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com </w:t>
            </w:r>
            <w:r w:rsidRPr="00AE28B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lastRenderedPageBreak/>
              <w:t>SIE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50" w:rsidRDefault="00150C50" w:rsidP="00AE28B9">
            <w:pPr>
              <w:rPr>
                <w:rFonts w:ascii="Calibri1" w:hAnsi="Calibri1"/>
                <w:color w:val="000000"/>
                <w:sz w:val="22"/>
                <w:szCs w:val="22"/>
              </w:rPr>
            </w:pPr>
          </w:p>
        </w:tc>
      </w:tr>
    </w:tbl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B9" w:rsidRDefault="00AE28B9" w:rsidP="004339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6251" w:rsidRDefault="003B6251" w:rsidP="001B51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4447" w:rsidRDefault="00B579B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maior parte</w:t>
      </w:r>
      <w:r w:rsidR="00C144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C14447">
        <w:rPr>
          <w:rFonts w:ascii="Arial" w:hAnsi="Arial" w:cs="Arial"/>
          <w:sz w:val="24"/>
          <w:szCs w:val="24"/>
        </w:rPr>
        <w:t>as atividades pecuárias</w:t>
      </w:r>
      <w:r w:rsidR="003B6251">
        <w:rPr>
          <w:rFonts w:ascii="Arial" w:hAnsi="Arial" w:cs="Arial"/>
          <w:sz w:val="24"/>
          <w:szCs w:val="24"/>
        </w:rPr>
        <w:t xml:space="preserve"> </w:t>
      </w:r>
      <w:r w:rsidR="00C14447">
        <w:rPr>
          <w:rFonts w:ascii="Arial" w:hAnsi="Arial" w:cs="Arial"/>
          <w:sz w:val="24"/>
          <w:szCs w:val="24"/>
        </w:rPr>
        <w:t>t</w:t>
      </w:r>
      <w:r w:rsidR="003B6251">
        <w:rPr>
          <w:rFonts w:ascii="Arial" w:hAnsi="Arial" w:cs="Arial"/>
          <w:sz w:val="24"/>
          <w:szCs w:val="24"/>
        </w:rPr>
        <w:t>ê</w:t>
      </w:r>
      <w:r w:rsidR="00C14447">
        <w:rPr>
          <w:rFonts w:ascii="Arial" w:hAnsi="Arial" w:cs="Arial"/>
          <w:sz w:val="24"/>
          <w:szCs w:val="24"/>
        </w:rPr>
        <w:t>m crescido</w:t>
      </w:r>
      <w:proofErr w:type="gramEnd"/>
      <w:r w:rsidR="00C14447">
        <w:rPr>
          <w:rFonts w:ascii="Arial" w:hAnsi="Arial" w:cs="Arial"/>
          <w:sz w:val="24"/>
          <w:szCs w:val="24"/>
        </w:rPr>
        <w:t xml:space="preserve"> acima das médias brasileiras, demonstrando a magnitude da agropecuária tocantinense. </w:t>
      </w:r>
    </w:p>
    <w:p w:rsidR="008C49CE" w:rsidRDefault="00237A38" w:rsidP="00433992">
      <w:pPr>
        <w:spacing w:after="0"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8C7B529" wp14:editId="1E351A64">
            <wp:extent cx="5130800" cy="2675740"/>
            <wp:effectExtent l="0" t="0" r="12700" b="1079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7A38" w:rsidRDefault="004C105A" w:rsidP="00433992">
      <w:pPr>
        <w:spacing w:after="0"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B9AC4C7" wp14:editId="376A8A5F">
            <wp:extent cx="5130800" cy="2168892"/>
            <wp:effectExtent l="0" t="0" r="12700" b="222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5E10" w:rsidRDefault="00035E10" w:rsidP="00433992">
      <w:pPr>
        <w:spacing w:after="0"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2C9B597A" wp14:editId="2E7BCE86">
            <wp:extent cx="5130800" cy="2168892"/>
            <wp:effectExtent l="0" t="0" r="12700" b="222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47" w:rsidRDefault="00C14447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do crescimento </w:t>
      </w:r>
      <w:r w:rsidR="00565762">
        <w:rPr>
          <w:rFonts w:ascii="Arial" w:hAnsi="Arial" w:cs="Arial"/>
          <w:sz w:val="24"/>
          <w:szCs w:val="24"/>
        </w:rPr>
        <w:t>registrado,</w:t>
      </w:r>
      <w:r>
        <w:rPr>
          <w:rFonts w:ascii="Arial" w:hAnsi="Arial" w:cs="Arial"/>
          <w:sz w:val="24"/>
          <w:szCs w:val="24"/>
        </w:rPr>
        <w:t xml:space="preserve"> a tendência </w:t>
      </w:r>
      <w:r w:rsidR="00565762">
        <w:rPr>
          <w:rFonts w:ascii="Arial" w:hAnsi="Arial" w:cs="Arial"/>
          <w:sz w:val="24"/>
          <w:szCs w:val="24"/>
        </w:rPr>
        <w:t xml:space="preserve">para os próximos anos </w:t>
      </w:r>
      <w:r>
        <w:rPr>
          <w:rFonts w:ascii="Arial" w:hAnsi="Arial" w:cs="Arial"/>
          <w:sz w:val="24"/>
          <w:szCs w:val="24"/>
        </w:rPr>
        <w:t>é a diminuição no ritmo e a ligeira queda de preços dos produtos agrícolas.</w:t>
      </w:r>
    </w:p>
    <w:p w:rsidR="00C56BA2" w:rsidRDefault="00C14447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ao setor cárneo a expectativa é de crescimento acelerado, </w:t>
      </w:r>
      <w:r w:rsidR="00C56BA2">
        <w:rPr>
          <w:rFonts w:ascii="Arial" w:hAnsi="Arial" w:cs="Arial"/>
          <w:sz w:val="24"/>
          <w:szCs w:val="24"/>
        </w:rPr>
        <w:t xml:space="preserve">especialmente as carnes de suíno e frango, </w:t>
      </w:r>
      <w:r>
        <w:rPr>
          <w:rFonts w:ascii="Arial" w:hAnsi="Arial" w:cs="Arial"/>
          <w:sz w:val="24"/>
          <w:szCs w:val="24"/>
        </w:rPr>
        <w:t xml:space="preserve">em função do aumento na produção de grãos </w:t>
      </w:r>
      <w:r w:rsidR="00C56BA2">
        <w:rPr>
          <w:rFonts w:ascii="Arial" w:hAnsi="Arial" w:cs="Arial"/>
          <w:sz w:val="24"/>
          <w:szCs w:val="24"/>
        </w:rPr>
        <w:t>e da demanda mundial por proteína animal qu</w:t>
      </w:r>
      <w:r>
        <w:rPr>
          <w:rFonts w:ascii="Arial" w:hAnsi="Arial" w:cs="Arial"/>
          <w:sz w:val="24"/>
          <w:szCs w:val="24"/>
        </w:rPr>
        <w:t xml:space="preserve">e </w:t>
      </w:r>
      <w:r w:rsidR="00C56BA2">
        <w:rPr>
          <w:rFonts w:ascii="Arial" w:hAnsi="Arial" w:cs="Arial"/>
          <w:sz w:val="24"/>
          <w:szCs w:val="24"/>
        </w:rPr>
        <w:t>leva á tendência dos preços ao produtor crescerem.</w:t>
      </w:r>
    </w:p>
    <w:p w:rsidR="00587241" w:rsidRPr="00C14447" w:rsidRDefault="00587241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447">
        <w:rPr>
          <w:rFonts w:ascii="Arial" w:hAnsi="Arial" w:cs="Arial"/>
          <w:sz w:val="24"/>
          <w:szCs w:val="24"/>
        </w:rPr>
        <w:t>Destaque maior é para o boi gordo onde o preço por arroba aumentou em 2015, cerca de 30,0% em relação ao preço histórico (julho/1997 a fevereiro/2015)</w:t>
      </w:r>
      <w:r>
        <w:rPr>
          <w:rFonts w:ascii="Arial" w:hAnsi="Arial" w:cs="Arial"/>
          <w:sz w:val="24"/>
          <w:szCs w:val="24"/>
        </w:rPr>
        <w:t xml:space="preserve">, de acordo com </w:t>
      </w:r>
      <w:r>
        <w:t>OECD</w:t>
      </w:r>
      <w:r w:rsidRPr="00C14447">
        <w:rPr>
          <w:rFonts w:ascii="Arial" w:hAnsi="Arial" w:cs="Arial"/>
          <w:sz w:val="24"/>
          <w:szCs w:val="24"/>
        </w:rPr>
        <w:t>.</w:t>
      </w:r>
    </w:p>
    <w:p w:rsidR="00CF71FE" w:rsidRDefault="00587241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C24ABD">
        <w:rPr>
          <w:rFonts w:ascii="Arial" w:hAnsi="Arial" w:cs="Arial"/>
          <w:sz w:val="24"/>
          <w:szCs w:val="24"/>
        </w:rPr>
        <w:t xml:space="preserve"> Relatório do Ministério da Agricultura, Pecuária e Abastecimento – Projeções do Agronegócio Brasil 2014/15 – 20124/25, a</w:t>
      </w:r>
      <w:r w:rsidR="00C14447" w:rsidRPr="00C14447">
        <w:rPr>
          <w:rFonts w:ascii="Arial" w:hAnsi="Arial" w:cs="Arial"/>
          <w:sz w:val="24"/>
          <w:szCs w:val="24"/>
        </w:rPr>
        <w:t xml:space="preserve"> produção de carne bovina tem um</w:t>
      </w:r>
      <w:r w:rsidR="007D718A">
        <w:rPr>
          <w:rFonts w:ascii="Arial" w:hAnsi="Arial" w:cs="Arial"/>
          <w:sz w:val="24"/>
          <w:szCs w:val="24"/>
        </w:rPr>
        <w:t xml:space="preserve">a projeção de crescimento de </w:t>
      </w:r>
      <w:r w:rsidR="00C14447" w:rsidRPr="00C14447">
        <w:rPr>
          <w:rFonts w:ascii="Arial" w:hAnsi="Arial" w:cs="Arial"/>
          <w:sz w:val="24"/>
          <w:szCs w:val="24"/>
        </w:rPr>
        <w:t xml:space="preserve">2,1% ao ano, </w:t>
      </w:r>
      <w:r w:rsidR="00CF71FE">
        <w:rPr>
          <w:rFonts w:ascii="Arial" w:hAnsi="Arial" w:cs="Arial"/>
          <w:sz w:val="24"/>
          <w:szCs w:val="24"/>
        </w:rPr>
        <w:t>c</w:t>
      </w:r>
      <w:r w:rsidR="00C14447" w:rsidRPr="00C14447">
        <w:rPr>
          <w:rFonts w:ascii="Arial" w:hAnsi="Arial" w:cs="Arial"/>
          <w:sz w:val="24"/>
          <w:szCs w:val="24"/>
        </w:rPr>
        <w:t>o</w:t>
      </w:r>
      <w:r w:rsidR="00CF71FE">
        <w:rPr>
          <w:rFonts w:ascii="Arial" w:hAnsi="Arial" w:cs="Arial"/>
          <w:sz w:val="24"/>
          <w:szCs w:val="24"/>
        </w:rPr>
        <w:t xml:space="preserve">nseguindo com isto atender o </w:t>
      </w:r>
      <w:r w:rsidR="00C14447" w:rsidRPr="00C14447">
        <w:rPr>
          <w:rFonts w:ascii="Arial" w:hAnsi="Arial" w:cs="Arial"/>
          <w:sz w:val="24"/>
          <w:szCs w:val="24"/>
        </w:rPr>
        <w:t>consumo doméstico e às exportações. A produção total de carnes em 2014/15 está estimada em 25,8 milhões de toneladas e a projeção para o final da próxima década é produzir 33,7 milhões de toneladas de carne de frango, bovina e suína. Essa variação entre o ano inicial da projeção e o final resulta num aumento de produção de 30,7%.</w:t>
      </w:r>
    </w:p>
    <w:p w:rsidR="00C14447" w:rsidRDefault="00CF71FE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contexto </w:t>
      </w:r>
      <w:r w:rsidR="004F1B82">
        <w:rPr>
          <w:rFonts w:ascii="Arial" w:hAnsi="Arial" w:cs="Arial"/>
          <w:sz w:val="24"/>
          <w:szCs w:val="24"/>
        </w:rPr>
        <w:t xml:space="preserve">de aumento de produção de carne, </w:t>
      </w:r>
      <w:r>
        <w:rPr>
          <w:rFonts w:ascii="Arial" w:hAnsi="Arial" w:cs="Arial"/>
          <w:sz w:val="24"/>
          <w:szCs w:val="24"/>
        </w:rPr>
        <w:t>o Tocantins poderá contribuir com uma parcela expressiva,</w:t>
      </w:r>
      <w:proofErr w:type="gramStart"/>
      <w:r w:rsidR="004F1B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desde que invista em recuperação de pastagens degradadas, maior lotação</w:t>
      </w:r>
      <w:r w:rsidR="00D820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ua</w:t>
      </w:r>
      <w:proofErr w:type="spellEnd"/>
      <w:r>
        <w:rPr>
          <w:rFonts w:ascii="Arial" w:hAnsi="Arial" w:cs="Arial"/>
          <w:sz w:val="24"/>
          <w:szCs w:val="24"/>
        </w:rPr>
        <w:t xml:space="preserve">/ha), integração lavoura/pecuária/floresta, melhoria da qualidade genética de seus rebanhos com isso reduzindo significativamente o tempo do animal sobre o pasto, melhorando a produtividade ou seja produzindo mais arrobas em cada vez menores áreas e com desmatamento zero, reduzindo o impacto das emissões de gases de efeito estufa. </w:t>
      </w:r>
    </w:p>
    <w:p w:rsidR="00C14447" w:rsidRDefault="00CF71FE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consumo de proteína animal</w:t>
      </w:r>
      <w:r w:rsidR="00F07BBB">
        <w:rPr>
          <w:rFonts w:ascii="Arial" w:hAnsi="Arial" w:cs="Arial"/>
          <w:sz w:val="24"/>
          <w:szCs w:val="24"/>
        </w:rPr>
        <w:t>, portanto,</w:t>
      </w:r>
      <w:r>
        <w:rPr>
          <w:rFonts w:ascii="Arial" w:hAnsi="Arial" w:cs="Arial"/>
          <w:sz w:val="24"/>
          <w:szCs w:val="24"/>
        </w:rPr>
        <w:t xml:space="preserve"> </w:t>
      </w:r>
      <w:r w:rsidR="00587241">
        <w:rPr>
          <w:rFonts w:ascii="Arial" w:hAnsi="Arial" w:cs="Arial"/>
          <w:sz w:val="24"/>
          <w:szCs w:val="24"/>
        </w:rPr>
        <w:t>atendendo á demanda mundial também terá um crescimento, principalmente paras as carnes de pescado, de aves e suína e em menor proporção a de bovinos.</w:t>
      </w:r>
    </w:p>
    <w:p w:rsidR="00587241" w:rsidRDefault="00587241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á produção leiteira </w:t>
      </w:r>
      <w:r w:rsidR="004B52CF">
        <w:rPr>
          <w:rFonts w:ascii="Arial" w:hAnsi="Arial" w:cs="Arial"/>
          <w:sz w:val="24"/>
          <w:szCs w:val="24"/>
        </w:rPr>
        <w:t xml:space="preserve">a retração observada nos últimos anos </w:t>
      </w:r>
      <w:r w:rsidR="00A53502">
        <w:rPr>
          <w:rFonts w:ascii="Arial" w:hAnsi="Arial" w:cs="Arial"/>
          <w:sz w:val="24"/>
          <w:szCs w:val="24"/>
        </w:rPr>
        <w:t>deve</w:t>
      </w:r>
      <w:r w:rsidR="004B52CF">
        <w:rPr>
          <w:rFonts w:ascii="Arial" w:hAnsi="Arial" w:cs="Arial"/>
          <w:sz w:val="24"/>
          <w:szCs w:val="24"/>
        </w:rPr>
        <w:t>rá continuar</w:t>
      </w:r>
      <w:r>
        <w:rPr>
          <w:rFonts w:ascii="Arial" w:hAnsi="Arial" w:cs="Arial"/>
          <w:sz w:val="24"/>
          <w:szCs w:val="24"/>
        </w:rPr>
        <w:t xml:space="preserve">, e o consumo deverá acompanhar à produção, conforme dados da EMBRAPA Gado de Leite que retrata que a </w:t>
      </w:r>
      <w:r w:rsidRPr="00587241">
        <w:rPr>
          <w:rFonts w:ascii="Arial" w:hAnsi="Arial" w:cs="Arial"/>
          <w:sz w:val="24"/>
          <w:szCs w:val="24"/>
        </w:rPr>
        <w:t>produção de leite deverá crescer a uma taxa anual entre 2,4% e 3,3%</w:t>
      </w:r>
      <w:r w:rsidR="00A53502">
        <w:rPr>
          <w:rFonts w:ascii="Arial" w:hAnsi="Arial" w:cs="Arial"/>
          <w:sz w:val="24"/>
          <w:szCs w:val="24"/>
        </w:rPr>
        <w:t xml:space="preserve">, diferente do </w:t>
      </w:r>
      <w:r w:rsidR="00A53502" w:rsidRPr="00A53502">
        <w:rPr>
          <w:rFonts w:ascii="Arial" w:hAnsi="Arial" w:cs="Arial"/>
          <w:sz w:val="24"/>
          <w:szCs w:val="24"/>
        </w:rPr>
        <w:t>crescimento médio da produção dos últimos anos, que foi de 4,5% ao ano</w:t>
      </w:r>
      <w:r w:rsidR="00A53502">
        <w:rPr>
          <w:rFonts w:ascii="Arial" w:hAnsi="Arial" w:cs="Arial"/>
          <w:sz w:val="24"/>
          <w:szCs w:val="24"/>
        </w:rPr>
        <w:t>, que vinha sendo impulsionada principalmente pelo maior consumo em virtude do melhor poder aquisitivo da população brasileira, especialmente as classes C e D, mas que não permanecerá no mesmo ritmo.</w:t>
      </w:r>
    </w:p>
    <w:p w:rsidR="003B6251" w:rsidRDefault="003B6251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saída para a melhoria na produção de leite deverá se investir nas exportações</w:t>
      </w:r>
      <w:r w:rsidR="007E0D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principalmente de leite em pó.</w:t>
      </w:r>
    </w:p>
    <w:p w:rsidR="00D8207F" w:rsidRDefault="00A53502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 tratando da produção de mel, </w:t>
      </w:r>
      <w:r w:rsidR="00DB3352">
        <w:rPr>
          <w:rFonts w:ascii="Arial" w:hAnsi="Arial" w:cs="Arial"/>
          <w:sz w:val="24"/>
          <w:szCs w:val="24"/>
        </w:rPr>
        <w:t xml:space="preserve">em uma estimativa o Brasil conta atualmente 500 mil apicultores e uma produção de 40 mil toneladas de mel por ano. </w:t>
      </w:r>
      <w:r w:rsidR="00BD648F">
        <w:rPr>
          <w:rFonts w:ascii="Arial" w:hAnsi="Arial" w:cs="Arial"/>
          <w:sz w:val="24"/>
          <w:szCs w:val="24"/>
        </w:rPr>
        <w:t xml:space="preserve"> De acordo com a Confederação Brasileira de Apicultura – CBA</w:t>
      </w:r>
      <w:r w:rsidR="009078DE">
        <w:rPr>
          <w:rFonts w:ascii="Arial" w:hAnsi="Arial" w:cs="Arial"/>
          <w:sz w:val="24"/>
          <w:szCs w:val="24"/>
        </w:rPr>
        <w:t xml:space="preserve">, o mercado de mel brasileiro é da ordem de 350 milhões de </w:t>
      </w:r>
      <w:proofErr w:type="gramStart"/>
      <w:r w:rsidR="009078DE">
        <w:rPr>
          <w:rFonts w:ascii="Arial" w:hAnsi="Arial" w:cs="Arial"/>
          <w:sz w:val="24"/>
          <w:szCs w:val="24"/>
        </w:rPr>
        <w:t>dólares ,</w:t>
      </w:r>
      <w:proofErr w:type="gramEnd"/>
      <w:r w:rsidR="009078DE">
        <w:rPr>
          <w:rFonts w:ascii="Arial" w:hAnsi="Arial" w:cs="Arial"/>
          <w:sz w:val="24"/>
          <w:szCs w:val="24"/>
        </w:rPr>
        <w:t xml:space="preserve"> tendo crescido cerda de 4,5% nos </w:t>
      </w:r>
      <w:r w:rsidR="003904F5">
        <w:rPr>
          <w:rFonts w:ascii="Arial" w:hAnsi="Arial" w:cs="Arial"/>
          <w:sz w:val="24"/>
          <w:szCs w:val="24"/>
        </w:rPr>
        <w:t>últimos 10 anos. A exportação de mel equivalente a 98, 6 milhões de dólares B em 2014 colocou o País no posto de 8º maior exportador de mel do mundo.</w:t>
      </w:r>
      <w:r w:rsidR="00C92390">
        <w:rPr>
          <w:rFonts w:ascii="Arial" w:hAnsi="Arial" w:cs="Arial"/>
          <w:sz w:val="24"/>
          <w:szCs w:val="24"/>
        </w:rPr>
        <w:t xml:space="preserve"> Esse valor representa um crescimento de 82%</w:t>
      </w:r>
      <w:r w:rsidR="00BD648F">
        <w:rPr>
          <w:rFonts w:ascii="Arial" w:hAnsi="Arial" w:cs="Arial"/>
          <w:sz w:val="24"/>
          <w:szCs w:val="24"/>
        </w:rPr>
        <w:t xml:space="preserve"> </w:t>
      </w:r>
      <w:r w:rsidR="00E57028">
        <w:rPr>
          <w:rFonts w:ascii="Arial" w:hAnsi="Arial" w:cs="Arial"/>
          <w:sz w:val="24"/>
          <w:szCs w:val="24"/>
        </w:rPr>
        <w:t xml:space="preserve">em relação </w:t>
      </w:r>
      <w:proofErr w:type="gramStart"/>
      <w:r w:rsidR="002157BD">
        <w:rPr>
          <w:rFonts w:ascii="Arial" w:hAnsi="Arial" w:cs="Arial"/>
          <w:sz w:val="24"/>
          <w:szCs w:val="24"/>
        </w:rPr>
        <w:t>à</w:t>
      </w:r>
      <w:proofErr w:type="gramEnd"/>
      <w:r w:rsidR="002157BD">
        <w:rPr>
          <w:rFonts w:ascii="Arial" w:hAnsi="Arial" w:cs="Arial"/>
          <w:sz w:val="24"/>
          <w:szCs w:val="24"/>
        </w:rPr>
        <w:t xml:space="preserve"> </w:t>
      </w:r>
      <w:r w:rsidR="00E57028">
        <w:rPr>
          <w:rFonts w:ascii="Arial" w:hAnsi="Arial" w:cs="Arial"/>
          <w:sz w:val="24"/>
          <w:szCs w:val="24"/>
        </w:rPr>
        <w:t>2013., de acordo com a ABEMEL</w:t>
      </w:r>
      <w:r w:rsidR="002157BD">
        <w:rPr>
          <w:rFonts w:ascii="Arial" w:hAnsi="Arial" w:cs="Arial"/>
          <w:sz w:val="24"/>
          <w:szCs w:val="24"/>
        </w:rPr>
        <w:t xml:space="preserve"> – Associação Brasileira de Exportadores de Mel.</w:t>
      </w:r>
      <w:r w:rsidR="00E57028">
        <w:rPr>
          <w:rFonts w:ascii="Arial" w:hAnsi="Arial" w:cs="Arial"/>
          <w:sz w:val="24"/>
          <w:szCs w:val="24"/>
        </w:rPr>
        <w:t xml:space="preserve"> </w:t>
      </w:r>
      <w:r w:rsidR="00CE1A2C">
        <w:rPr>
          <w:rFonts w:ascii="Arial" w:hAnsi="Arial" w:cs="Arial"/>
          <w:sz w:val="24"/>
          <w:szCs w:val="24"/>
        </w:rPr>
        <w:t xml:space="preserve"> A produção apícola também cresceu significativamente colocando o Brasil de 11º para 8º maior produtor. </w:t>
      </w:r>
      <w:r w:rsidR="00412B15">
        <w:rPr>
          <w:rFonts w:ascii="Arial" w:hAnsi="Arial" w:cs="Arial"/>
          <w:sz w:val="24"/>
          <w:szCs w:val="24"/>
        </w:rPr>
        <w:t xml:space="preserve">No Estado do Tocantins </w:t>
      </w:r>
      <w:r>
        <w:rPr>
          <w:rFonts w:ascii="Arial" w:hAnsi="Arial" w:cs="Arial"/>
          <w:sz w:val="24"/>
          <w:szCs w:val="24"/>
        </w:rPr>
        <w:t xml:space="preserve">atualmente </w:t>
      </w:r>
      <w:r w:rsidR="00412B15">
        <w:rPr>
          <w:rFonts w:ascii="Arial" w:hAnsi="Arial" w:cs="Arial"/>
          <w:sz w:val="24"/>
          <w:szCs w:val="24"/>
        </w:rPr>
        <w:t xml:space="preserve">a produção encontra-se </w:t>
      </w:r>
      <w:r>
        <w:rPr>
          <w:rFonts w:ascii="Arial" w:hAnsi="Arial" w:cs="Arial"/>
          <w:sz w:val="24"/>
          <w:szCs w:val="24"/>
        </w:rPr>
        <w:t xml:space="preserve">no patamar de </w:t>
      </w:r>
      <w:r w:rsidR="00035E10">
        <w:rPr>
          <w:rFonts w:ascii="Arial" w:hAnsi="Arial" w:cs="Arial"/>
          <w:sz w:val="24"/>
          <w:szCs w:val="24"/>
        </w:rPr>
        <w:t>118</w:t>
      </w:r>
      <w:r>
        <w:rPr>
          <w:rFonts w:ascii="Arial" w:hAnsi="Arial" w:cs="Arial"/>
          <w:sz w:val="24"/>
          <w:szCs w:val="24"/>
        </w:rPr>
        <w:t xml:space="preserve"> toneladas ao ano, e que no período de 198</w:t>
      </w:r>
      <w:r w:rsidR="00035E1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201</w:t>
      </w:r>
      <w:r w:rsidR="00035E1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cresceu na ordem de 196</w:t>
      </w:r>
      <w:r w:rsidR="00035E10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%, a tendência é de aumento de produção e consumo, em função da busca constante por alimentos saudáveis e orgânicos, pela diversificação no portfólio dos produtos da colmeia, bem como pela expectativa da legalização das Unidades de Extração – Casas de Mel e dos Entrepostos com a obtenção do Selo de Inspeção Federal – SIF. </w:t>
      </w:r>
    </w:p>
    <w:p w:rsidR="007E0D47" w:rsidRDefault="007E0D47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55362A">
        <w:rPr>
          <w:rFonts w:ascii="Arial" w:hAnsi="Arial" w:cs="Arial"/>
          <w:sz w:val="24"/>
          <w:szCs w:val="24"/>
        </w:rPr>
        <w:t xml:space="preserve">relação ás </w:t>
      </w:r>
      <w:r>
        <w:rPr>
          <w:rFonts w:ascii="Arial" w:hAnsi="Arial" w:cs="Arial"/>
          <w:sz w:val="24"/>
          <w:szCs w:val="24"/>
        </w:rPr>
        <w:t xml:space="preserve">exportações, especialmente para o setor cárneo as estimativas são positivas. </w:t>
      </w:r>
      <w:r w:rsidR="00E67B77" w:rsidRPr="00E67B77">
        <w:rPr>
          <w:rFonts w:ascii="Arial" w:hAnsi="Arial" w:cs="Arial"/>
          <w:sz w:val="24"/>
          <w:szCs w:val="24"/>
        </w:rPr>
        <w:t xml:space="preserve">A exportação tocantinense envolve não apenas a carne, com ou sem osso, mas todos os subprodutos do boi, </w:t>
      </w:r>
      <w:r w:rsidR="00E67B77">
        <w:rPr>
          <w:rFonts w:ascii="Arial" w:hAnsi="Arial" w:cs="Arial"/>
          <w:sz w:val="24"/>
          <w:szCs w:val="24"/>
        </w:rPr>
        <w:t>como</w:t>
      </w:r>
      <w:r w:rsidR="00E67B77" w:rsidRPr="00E67B77">
        <w:rPr>
          <w:rFonts w:ascii="Arial" w:hAnsi="Arial" w:cs="Arial"/>
          <w:sz w:val="24"/>
          <w:szCs w:val="24"/>
        </w:rPr>
        <w:t xml:space="preserve"> miúdos, couro, ossos que se transformam em ração animal, dentre outros, conforme a cultura dos países importadores.</w:t>
      </w: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2D6" w:rsidRDefault="006362D6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4447" w:rsidRPr="00D02636" w:rsidRDefault="00D02636" w:rsidP="001B511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2636">
        <w:rPr>
          <w:rFonts w:ascii="Arial" w:hAnsi="Arial" w:cs="Arial"/>
          <w:b/>
          <w:sz w:val="24"/>
          <w:szCs w:val="24"/>
        </w:rPr>
        <w:t>EXPORTAÇÕES DE PRODUTOS CÁRNEOS</w:t>
      </w:r>
    </w:p>
    <w:tbl>
      <w:tblPr>
        <w:tblW w:w="10700" w:type="dxa"/>
        <w:tblInd w:w="-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1093"/>
        <w:gridCol w:w="586"/>
        <w:gridCol w:w="1272"/>
        <w:gridCol w:w="1181"/>
        <w:gridCol w:w="586"/>
        <w:gridCol w:w="1490"/>
      </w:tblGrid>
      <w:tr w:rsidR="00D02636" w:rsidTr="006362D6">
        <w:trPr>
          <w:trHeight w:val="300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2015 (JAN - AGO) 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2014 (JAN - AGO)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Descrição (NCM)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US$ FOB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US$ FOB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TOTAL GERAL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696.333.581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786,70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1.553.847.079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704.154.947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621,93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1.116.506.023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02636" w:rsidTr="006362D6">
        <w:trPr>
          <w:trHeight w:val="39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CARNES DESOSSADAS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CONGELADAS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88.513.134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23.957.072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113.220.810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25.949.604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CARNES DESOSSADAS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FRESCAS OU REFRIGERADAS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9.625.446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10,87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2.060.985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13.722.743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12,12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2.587.989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OUTS.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COUROS/PELES BOVINOS,SECOS,PENA FLOR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7.416.593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8,38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2.512.900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OUTRAS MIUDEZAS COMESTIVEIS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CONGELADAS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5.202.331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1.769.627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7.667.969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6,77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2.276.066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TRIPAS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BOVINOS,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FRESCAS,REFRIG.CONGEL.SALG.DEFUMADAS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4.997.484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1.448.312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7.530.539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1.827.017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OUTS.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COUROS BOVINOS,INCL.BUFALOS,N/DIV.UMID.PENA FLOR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1.281.049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401.100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2.078.456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1,84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827.892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LINGUAS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CONGELADAS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876.465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257.682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783.729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210.315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OUTS.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COUROS BOVINOS,INCL.BUFALOS,DIVID.UMID.PENA FLOR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696.289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180.590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10.485.343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9,26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2.819.771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FIGADOS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CONGELADOS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432.625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253.501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5.867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3.987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OUTRAS PECAS NAO DESOSSADAS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CONGELADAS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398.543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149.095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887.210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314.533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PEDACOS 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MIUDEZAS,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COMEST.DE GALOS/GALINHAS,CONGELADOS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350.190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189.000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QUARTOS DIANTEIROS NAO DESOSSADOS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CONGELADOS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321.260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125.513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1.602.487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625.644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RABOS DE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BOVINO,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CONGELADOS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129.271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33.945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98.175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22.942 </w:t>
            </w:r>
          </w:p>
        </w:tc>
      </w:tr>
      <w:tr w:rsidR="00D02636" w:rsidTr="006362D6">
        <w:trPr>
          <w:trHeight w:val="300"/>
        </w:trPr>
        <w:tc>
          <w:tcPr>
            <w:tcW w:w="4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OUTRAS OBRAS DE COURO NATURAL OU RECONSTITUIDO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15.616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3.200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02636" w:rsidTr="006362D6">
        <w:trPr>
          <w:trHeight w:val="300"/>
        </w:trPr>
        <w:tc>
          <w:tcPr>
            <w:tcW w:w="55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OUTS.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COUROS/PELES,BOVINOS,INCL.BUFALOS,UMIDOS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49.566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95.120 </w:t>
            </w:r>
          </w:p>
        </w:tc>
      </w:tr>
      <w:tr w:rsidR="00D02636" w:rsidTr="006362D6">
        <w:trPr>
          <w:trHeight w:val="315"/>
        </w:trPr>
        <w:tc>
          <w:tcPr>
            <w:tcW w:w="5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OUTS.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COUROS BOVINOS,N/DIV.UMID.PRE-CURT.VEG.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--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40.837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636" w:rsidRDefault="00D0263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10.803 </w:t>
            </w:r>
          </w:p>
        </w:tc>
      </w:tr>
    </w:tbl>
    <w:p w:rsidR="0055362A" w:rsidRDefault="0055362A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4447" w:rsidRDefault="003E01C1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01C1">
        <w:rPr>
          <w:rFonts w:ascii="Arial" w:hAnsi="Arial" w:cs="Arial"/>
          <w:sz w:val="24"/>
          <w:szCs w:val="24"/>
        </w:rPr>
        <w:t>De acordo com o CEPEA as carnes de frango e de suínos lideram as taxas de crescimento anual das exportações</w:t>
      </w:r>
      <w:r w:rsidR="00CF5690">
        <w:rPr>
          <w:rFonts w:ascii="Arial" w:hAnsi="Arial" w:cs="Arial"/>
          <w:sz w:val="24"/>
          <w:szCs w:val="24"/>
        </w:rPr>
        <w:t xml:space="preserve"> brasileiras</w:t>
      </w:r>
      <w:r w:rsidRPr="003E01C1">
        <w:rPr>
          <w:rFonts w:ascii="Arial" w:hAnsi="Arial" w:cs="Arial"/>
          <w:sz w:val="24"/>
          <w:szCs w:val="24"/>
        </w:rPr>
        <w:t xml:space="preserve"> para os próximos anos – a taxa anual prevista para carne de frango é de 3,6%, para a carne suína de 3,7%. As exportações de carne bovina devem situar-se numa média anual de 3,3%.</w:t>
      </w:r>
    </w:p>
    <w:p w:rsidR="00053D80" w:rsidRDefault="00CF5690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20040">
        <w:rPr>
          <w:rFonts w:ascii="Arial" w:hAnsi="Arial" w:cs="Arial"/>
          <w:sz w:val="24"/>
          <w:szCs w:val="24"/>
        </w:rPr>
        <w:t xml:space="preserve"> Estado do Tocantins exporta </w:t>
      </w:r>
      <w:r w:rsidR="0055362A">
        <w:rPr>
          <w:rFonts w:ascii="Arial" w:hAnsi="Arial" w:cs="Arial"/>
          <w:sz w:val="24"/>
          <w:szCs w:val="24"/>
        </w:rPr>
        <w:t xml:space="preserve">produtos e subprodutos cárneos de bovinos, </w:t>
      </w:r>
      <w:r w:rsidR="00D20040">
        <w:rPr>
          <w:rFonts w:ascii="Arial" w:hAnsi="Arial" w:cs="Arial"/>
          <w:sz w:val="24"/>
          <w:szCs w:val="24"/>
        </w:rPr>
        <w:t xml:space="preserve">para países como a Rússia, Chile e Uruguai e para outros destinos. Com a </w:t>
      </w:r>
      <w:r w:rsidR="00053D80">
        <w:rPr>
          <w:rFonts w:ascii="Arial" w:hAnsi="Arial" w:cs="Arial"/>
          <w:sz w:val="24"/>
          <w:szCs w:val="24"/>
        </w:rPr>
        <w:t xml:space="preserve">liberação do mercado </w:t>
      </w:r>
      <w:r w:rsidR="00D20040">
        <w:rPr>
          <w:rFonts w:ascii="Arial" w:hAnsi="Arial" w:cs="Arial"/>
          <w:sz w:val="24"/>
          <w:szCs w:val="24"/>
        </w:rPr>
        <w:t xml:space="preserve">dos Estados Unidos </w:t>
      </w:r>
      <w:r w:rsidR="00053D80">
        <w:rPr>
          <w:rFonts w:ascii="Arial" w:hAnsi="Arial" w:cs="Arial"/>
          <w:sz w:val="24"/>
          <w:szCs w:val="24"/>
        </w:rPr>
        <w:t>o Tocantins e outros 13 E</w:t>
      </w:r>
      <w:r>
        <w:rPr>
          <w:rFonts w:ascii="Arial" w:hAnsi="Arial" w:cs="Arial"/>
          <w:sz w:val="24"/>
          <w:szCs w:val="24"/>
        </w:rPr>
        <w:t>s</w:t>
      </w:r>
      <w:r w:rsidR="00053D80">
        <w:rPr>
          <w:rFonts w:ascii="Arial" w:hAnsi="Arial" w:cs="Arial"/>
          <w:sz w:val="24"/>
          <w:szCs w:val="24"/>
        </w:rPr>
        <w:t>tados da federação</w:t>
      </w:r>
      <w:r w:rsidR="000D0676">
        <w:rPr>
          <w:rFonts w:ascii="Arial" w:hAnsi="Arial" w:cs="Arial"/>
          <w:sz w:val="24"/>
          <w:szCs w:val="24"/>
        </w:rPr>
        <w:t>, todos livres da febre Aftosa com Vacinação,</w:t>
      </w:r>
      <w:r w:rsidR="00053D80">
        <w:rPr>
          <w:rFonts w:ascii="Arial" w:hAnsi="Arial" w:cs="Arial"/>
          <w:sz w:val="24"/>
          <w:szCs w:val="24"/>
        </w:rPr>
        <w:t xml:space="preserve"> poderão exportar carne in natura o que acarretará em um potencial de exportação de pelo menos 100 mil toneladas por ano para os frigoríficos nacionais e ainda chancela a abertura de novos mercados. </w:t>
      </w:r>
    </w:p>
    <w:p w:rsidR="00CF5690" w:rsidRPr="00CF5690" w:rsidRDefault="00CF5690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690">
        <w:rPr>
          <w:rFonts w:ascii="Arial" w:hAnsi="Arial" w:cs="Arial"/>
          <w:sz w:val="24"/>
          <w:szCs w:val="24"/>
        </w:rPr>
        <w:t xml:space="preserve">Conforme dados da USDA, 2015 - Departamento de Agricultura dos Estados Unidos o Brasil em 2024 será o segundo maior exportador de carne bovina, sendo a Índia o primeiro exportador. </w:t>
      </w:r>
    </w:p>
    <w:p w:rsidR="00CF5690" w:rsidRPr="00CF5690" w:rsidRDefault="00CF5690" w:rsidP="004339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5690">
        <w:rPr>
          <w:rFonts w:ascii="Arial" w:hAnsi="Arial" w:cs="Arial"/>
          <w:sz w:val="24"/>
          <w:szCs w:val="24"/>
        </w:rPr>
        <w:t>O mercado interno juntamente com as exportações e os ganhos de produtividade, deverão ser os principais fatores de crescimento na próxima década.</w:t>
      </w:r>
    </w:p>
    <w:p w:rsidR="00B579B6" w:rsidRDefault="00CF5690" w:rsidP="00035E10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14447" w:rsidRPr="00D318FD">
        <w:rPr>
          <w:rFonts w:ascii="Arial" w:hAnsi="Arial" w:cs="Arial"/>
          <w:sz w:val="24"/>
          <w:szCs w:val="24"/>
        </w:rPr>
        <w:t>SEAGRO visa desenvolver atividades em vários segmentos pecuários (</w:t>
      </w:r>
      <w:r w:rsidR="00C14447" w:rsidRPr="00D318FD">
        <w:rPr>
          <w:rFonts w:ascii="Arial" w:hAnsi="Arial" w:cs="Arial"/>
          <w:bCs/>
          <w:iCs/>
          <w:sz w:val="24"/>
          <w:szCs w:val="24"/>
        </w:rPr>
        <w:t xml:space="preserve">bovinocultura de corte e leite, </w:t>
      </w:r>
      <w:proofErr w:type="spellStart"/>
      <w:r w:rsidR="00C14447" w:rsidRPr="00D318FD">
        <w:rPr>
          <w:rFonts w:ascii="Arial" w:hAnsi="Arial" w:cs="Arial"/>
          <w:bCs/>
          <w:iCs/>
          <w:sz w:val="24"/>
          <w:szCs w:val="24"/>
        </w:rPr>
        <w:t>ovinocaprinocultura</w:t>
      </w:r>
      <w:proofErr w:type="spellEnd"/>
      <w:r w:rsidR="00C14447" w:rsidRPr="00D318FD">
        <w:rPr>
          <w:rFonts w:ascii="Arial" w:hAnsi="Arial" w:cs="Arial"/>
          <w:bCs/>
          <w:iCs/>
          <w:sz w:val="24"/>
          <w:szCs w:val="24"/>
        </w:rPr>
        <w:t xml:space="preserve">, apicultura e avicultura), por meio de ações gerenciais das cadeias produtivas, elaboração de estudos e </w:t>
      </w:r>
      <w:r w:rsidR="00C14447">
        <w:rPr>
          <w:rFonts w:ascii="Arial" w:hAnsi="Arial" w:cs="Arial"/>
          <w:bCs/>
          <w:iCs/>
          <w:sz w:val="24"/>
          <w:szCs w:val="24"/>
        </w:rPr>
        <w:t xml:space="preserve">apoio à </w:t>
      </w:r>
      <w:r w:rsidR="00C14447" w:rsidRPr="00D318FD">
        <w:rPr>
          <w:rFonts w:ascii="Arial" w:hAnsi="Arial" w:cs="Arial"/>
          <w:bCs/>
          <w:iCs/>
          <w:sz w:val="24"/>
          <w:szCs w:val="24"/>
        </w:rPr>
        <w:t>promoção de pesquisas, capacitações, monitoramento que fomentem a pecuária tocantinense</w:t>
      </w:r>
      <w:r w:rsidR="00C14447">
        <w:rPr>
          <w:rFonts w:ascii="Arial" w:hAnsi="Arial" w:cs="Arial"/>
          <w:bCs/>
          <w:iCs/>
          <w:sz w:val="24"/>
          <w:szCs w:val="24"/>
        </w:rPr>
        <w:t xml:space="preserve">, ações estas articuladas em um ambiente de discussão e planejamento onde participam todos os atores envolvidos no processo de desenvolvimento das atividades pecuárias, com a ideia de um agrupamento de representantes dos organismos, órgãos e entidades públicas e privadas, que compõem os elos de uma cadeia produtiva, com um enfoque sistêmico. Atuando como fórum consultivo </w:t>
      </w:r>
      <w:r w:rsidR="00C14447">
        <w:rPr>
          <w:rFonts w:ascii="Arial" w:hAnsi="Arial" w:cs="Arial"/>
          <w:bCs/>
          <w:iCs/>
          <w:sz w:val="24"/>
          <w:szCs w:val="24"/>
        </w:rPr>
        <w:lastRenderedPageBreak/>
        <w:t>identificando as oportunidades e definindo as ações prioritárias para cada segmento</w:t>
      </w:r>
      <w:r w:rsidR="00C14447" w:rsidRPr="005F0E66">
        <w:rPr>
          <w:rFonts w:ascii="Arial" w:hAnsi="Arial" w:cs="Arial"/>
          <w:bCs/>
          <w:iCs/>
          <w:sz w:val="24"/>
          <w:szCs w:val="24"/>
        </w:rPr>
        <w:t>.</w:t>
      </w:r>
      <w:r w:rsidR="00C14447" w:rsidRPr="005F0E6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t-BR"/>
        </w:rPr>
        <w:t xml:space="preserve">  Esses fóruns são as Câmaras Setoriais que tem por finalidade propor, apoiar e acompanhar ações para o desenvolvimento das atividades das cadeias produtivas da pecuária.</w:t>
      </w:r>
    </w:p>
    <w:p w:rsidR="0079185C" w:rsidRPr="00CF5690" w:rsidRDefault="00CF5690" w:rsidP="001B5110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F5690">
        <w:rPr>
          <w:rFonts w:ascii="Arial" w:hAnsi="Arial" w:cs="Arial"/>
          <w:bCs/>
          <w:iCs/>
          <w:sz w:val="24"/>
          <w:szCs w:val="24"/>
        </w:rPr>
        <w:t>Os maiores desafios que deverão ser enfrentados nos próximos anos são:</w:t>
      </w:r>
    </w:p>
    <w:p w:rsidR="0079185C" w:rsidRDefault="0079185C" w:rsidP="001B51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9209F">
        <w:rPr>
          <w:rFonts w:ascii="Arial" w:hAnsi="Arial" w:cs="Arial"/>
          <w:bCs/>
          <w:iCs/>
          <w:sz w:val="24"/>
          <w:szCs w:val="24"/>
        </w:rPr>
        <w:t>Bovinocultura de Corte: reduzir a área de pastagens degradadas, aumentar a produção e produtividade, aumentar a capacidade de suporte das pastagens;</w:t>
      </w:r>
    </w:p>
    <w:p w:rsidR="0079185C" w:rsidRPr="00E9209F" w:rsidRDefault="0079185C" w:rsidP="001B51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Garantir o Bem estar animal, produzindo para mercados mais exigentes;</w:t>
      </w:r>
    </w:p>
    <w:p w:rsidR="0079185C" w:rsidRPr="00CF5690" w:rsidRDefault="0079185C" w:rsidP="001B51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F5690">
        <w:rPr>
          <w:rFonts w:ascii="Arial" w:hAnsi="Arial" w:cs="Arial"/>
          <w:bCs/>
          <w:iCs/>
          <w:sz w:val="24"/>
          <w:szCs w:val="24"/>
        </w:rPr>
        <w:t>Bovinocultura de Leite: reduzir a área de pastagens degradadas, aumentar a produção e produtividade por animal;</w:t>
      </w:r>
      <w:r w:rsidR="00CF5690" w:rsidRPr="00CF5690">
        <w:rPr>
          <w:rFonts w:ascii="Arial" w:hAnsi="Arial" w:cs="Arial"/>
          <w:bCs/>
          <w:iCs/>
          <w:sz w:val="24"/>
          <w:szCs w:val="24"/>
        </w:rPr>
        <w:t xml:space="preserve"> e aumentar as exportações; </w:t>
      </w:r>
      <w:r w:rsidRPr="00CF5690">
        <w:rPr>
          <w:rFonts w:ascii="Arial" w:hAnsi="Arial" w:cs="Arial"/>
          <w:bCs/>
          <w:iCs/>
          <w:sz w:val="24"/>
          <w:szCs w:val="24"/>
        </w:rPr>
        <w:t>Promover a inovação tecnológica por meio da biotecnologia animal, como ferramenta de aumento e melhoria de produtividade dos rebanhos;</w:t>
      </w:r>
      <w:r w:rsidR="00CF5690" w:rsidRPr="00CF569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F5690">
        <w:rPr>
          <w:rFonts w:ascii="Arial" w:hAnsi="Arial" w:cs="Arial"/>
          <w:bCs/>
          <w:iCs/>
          <w:sz w:val="24"/>
          <w:szCs w:val="24"/>
        </w:rPr>
        <w:t>Melhorar o sistema de coleta e transporte do leite “in natura” para os laticínios;</w:t>
      </w:r>
    </w:p>
    <w:p w:rsidR="0079185C" w:rsidRPr="00E9209F" w:rsidRDefault="0079185C" w:rsidP="001B51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9209F">
        <w:rPr>
          <w:rFonts w:ascii="Arial" w:hAnsi="Arial" w:cs="Arial"/>
          <w:bCs/>
          <w:iCs/>
          <w:sz w:val="24"/>
          <w:szCs w:val="24"/>
        </w:rPr>
        <w:t>Apícola: aumentar a produção e produtividade das colmeias</w:t>
      </w:r>
      <w:r>
        <w:rPr>
          <w:rFonts w:ascii="Arial" w:hAnsi="Arial" w:cs="Arial"/>
          <w:bCs/>
          <w:iCs/>
          <w:sz w:val="24"/>
          <w:szCs w:val="24"/>
        </w:rPr>
        <w:t>, ampliar o portfólio dos produtos da colmeia e industrializar a produção garantindo a qualidade dos produtos;</w:t>
      </w:r>
    </w:p>
    <w:p w:rsidR="0079185C" w:rsidRPr="00E9209F" w:rsidRDefault="0079185C" w:rsidP="001B51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9209F">
        <w:rPr>
          <w:rFonts w:ascii="Arial" w:hAnsi="Arial" w:cs="Arial"/>
          <w:bCs/>
          <w:iCs/>
          <w:sz w:val="24"/>
          <w:szCs w:val="24"/>
        </w:rPr>
        <w:t>Ovinocultura: aumentar a produção e produtividade do rebanho tocantinense, através de técnicas de manejo alimentar e sanidade animal;</w:t>
      </w:r>
    </w:p>
    <w:p w:rsidR="0079185C" w:rsidRDefault="0079185C" w:rsidP="001B511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F5690">
        <w:rPr>
          <w:rFonts w:ascii="Arial" w:hAnsi="Arial" w:cs="Arial"/>
          <w:bCs/>
          <w:iCs/>
          <w:sz w:val="24"/>
          <w:szCs w:val="24"/>
        </w:rPr>
        <w:t>Avícola: manter o plantel do Estado livre de enfermidades para mercado interno e externo, aumentar a produção e produtividade</w:t>
      </w:r>
      <w:r w:rsidR="00CF5690" w:rsidRPr="00CF5690">
        <w:rPr>
          <w:rFonts w:ascii="Arial" w:hAnsi="Arial" w:cs="Arial"/>
          <w:bCs/>
          <w:iCs/>
          <w:sz w:val="24"/>
          <w:szCs w:val="24"/>
        </w:rPr>
        <w:t>;</w:t>
      </w:r>
      <w:r w:rsidR="00CF569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CF5690">
        <w:rPr>
          <w:rFonts w:ascii="Arial" w:hAnsi="Arial" w:cs="Arial"/>
          <w:bCs/>
          <w:iCs/>
          <w:color w:val="000000" w:themeColor="text1"/>
          <w:sz w:val="24"/>
          <w:szCs w:val="24"/>
        </w:rPr>
        <w:t>Aves</w:t>
      </w:r>
      <w:r w:rsidR="00CF5690" w:rsidRPr="00CF569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CF5690">
        <w:rPr>
          <w:rFonts w:ascii="Arial" w:hAnsi="Arial" w:cs="Arial"/>
          <w:bCs/>
          <w:iCs/>
          <w:color w:val="000000" w:themeColor="text1"/>
          <w:sz w:val="24"/>
          <w:szCs w:val="24"/>
        </w:rPr>
        <w:t>isentas</w:t>
      </w:r>
      <w:proofErr w:type="gramEnd"/>
      <w:r w:rsidRPr="00CF569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de ICMS, comercialização de ovos férteis, para incentivar a produção.</w:t>
      </w:r>
    </w:p>
    <w:p w:rsidR="00B2031B" w:rsidRDefault="00CF5690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Com margens de rentabilidade cada vez mais apertadas, os produtores rurais deverão focar esforços na gestão profissional de suas atividades, mantendo relação posi</w:t>
      </w:r>
      <w:r w:rsidR="00A764E1">
        <w:rPr>
          <w:rFonts w:ascii="Arial" w:hAnsi="Arial" w:cs="Arial"/>
          <w:bCs/>
          <w:iCs/>
          <w:color w:val="000000" w:themeColor="text1"/>
          <w:sz w:val="24"/>
          <w:szCs w:val="24"/>
        </w:rPr>
        <w:t>tiva entre receita e custos, na busca de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melhorias de produtividade</w:t>
      </w:r>
      <w:r w:rsidR="00A764E1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com a utilização de tecnologias apropriadas, já que a liderança brasileira nas exportações, que absorvem cerca de 30% da produção nacional, se manterá firme</w:t>
      </w:r>
      <w:r w:rsidR="001859E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da mesma forma também no consumo a expectativa é de algum avanço, em virtude da política de reajuste do salário mínimo</w:t>
      </w:r>
      <w:r w:rsidR="0055362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consequente ascensão das classes C e D.</w:t>
      </w:r>
    </w:p>
    <w:p w:rsidR="00035E10" w:rsidRDefault="00035E10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55362A" w:rsidRDefault="0055362A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Erika Jardim</w:t>
      </w:r>
    </w:p>
    <w:p w:rsidR="0055362A" w:rsidRDefault="0055362A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Diretora de Políticas para a Pecuária</w:t>
      </w:r>
    </w:p>
    <w:p w:rsidR="0055362A" w:rsidRDefault="0055362A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Médica Veterinária</w:t>
      </w:r>
    </w:p>
    <w:p w:rsidR="0055362A" w:rsidRDefault="0055362A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Especialista em Comércio Exterior</w:t>
      </w:r>
    </w:p>
    <w:p w:rsidR="0055362A" w:rsidRDefault="0055362A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Especialista em Agente de Difusão e inovação Tecnológica </w:t>
      </w:r>
    </w:p>
    <w:bookmarkEnd w:id="0"/>
    <w:p w:rsidR="0055362A" w:rsidRDefault="0055362A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55362A" w:rsidRDefault="0055362A" w:rsidP="00433992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55362A" w:rsidRDefault="0055362A" w:rsidP="0043399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9185C" w:rsidRDefault="0079185C" w:rsidP="001B5110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185C" w:rsidRDefault="0079185C" w:rsidP="001B5110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857B2" w:rsidRDefault="00D55465" w:rsidP="001B5110">
      <w:pPr>
        <w:spacing w:line="360" w:lineRule="auto"/>
      </w:pPr>
    </w:p>
    <w:sectPr w:rsidR="000857B2" w:rsidSect="00035E10">
      <w:pgSz w:w="11906" w:h="16838"/>
      <w:pgMar w:top="567" w:right="21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1D" w:rsidRDefault="0062281D" w:rsidP="00AE28B9">
      <w:pPr>
        <w:spacing w:after="0" w:line="240" w:lineRule="auto"/>
      </w:pPr>
      <w:r>
        <w:separator/>
      </w:r>
    </w:p>
  </w:endnote>
  <w:endnote w:type="continuationSeparator" w:id="0">
    <w:p w:rsidR="0062281D" w:rsidRDefault="0062281D" w:rsidP="00AE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1D" w:rsidRDefault="0062281D" w:rsidP="00AE28B9">
      <w:pPr>
        <w:spacing w:after="0" w:line="240" w:lineRule="auto"/>
      </w:pPr>
      <w:r>
        <w:separator/>
      </w:r>
    </w:p>
  </w:footnote>
  <w:footnote w:type="continuationSeparator" w:id="0">
    <w:p w:rsidR="0062281D" w:rsidRDefault="0062281D" w:rsidP="00AE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A5D"/>
    <w:multiLevelType w:val="hybridMultilevel"/>
    <w:tmpl w:val="072EA7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14A42"/>
    <w:multiLevelType w:val="hybridMultilevel"/>
    <w:tmpl w:val="C5F61C24"/>
    <w:lvl w:ilvl="0" w:tplc="E07ECDF4">
      <w:start w:val="1"/>
      <w:numFmt w:val="decimalZero"/>
      <w:pStyle w:val="Ttulo2"/>
      <w:lvlText w:val="%1-"/>
      <w:lvlJc w:val="left"/>
      <w:pPr>
        <w:ind w:left="89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DD"/>
    <w:rsid w:val="00034461"/>
    <w:rsid w:val="00035E10"/>
    <w:rsid w:val="00052B7E"/>
    <w:rsid w:val="00053D80"/>
    <w:rsid w:val="000D0676"/>
    <w:rsid w:val="0014523F"/>
    <w:rsid w:val="00150C50"/>
    <w:rsid w:val="00167478"/>
    <w:rsid w:val="001859E0"/>
    <w:rsid w:val="001B3FED"/>
    <w:rsid w:val="001B5110"/>
    <w:rsid w:val="001E7C88"/>
    <w:rsid w:val="002157BD"/>
    <w:rsid w:val="00224F5B"/>
    <w:rsid w:val="00237A38"/>
    <w:rsid w:val="00313CF6"/>
    <w:rsid w:val="003904F5"/>
    <w:rsid w:val="0039720C"/>
    <w:rsid w:val="003B6251"/>
    <w:rsid w:val="003C5B10"/>
    <w:rsid w:val="003E01C1"/>
    <w:rsid w:val="003E6F47"/>
    <w:rsid w:val="00412B15"/>
    <w:rsid w:val="00433992"/>
    <w:rsid w:val="004B52CF"/>
    <w:rsid w:val="004B64C6"/>
    <w:rsid w:val="004C105A"/>
    <w:rsid w:val="004F1B82"/>
    <w:rsid w:val="0055362A"/>
    <w:rsid w:val="00565762"/>
    <w:rsid w:val="00587241"/>
    <w:rsid w:val="005E51F6"/>
    <w:rsid w:val="0062281D"/>
    <w:rsid w:val="006351F0"/>
    <w:rsid w:val="0063533E"/>
    <w:rsid w:val="006362D6"/>
    <w:rsid w:val="007644DD"/>
    <w:rsid w:val="007905C1"/>
    <w:rsid w:val="0079185C"/>
    <w:rsid w:val="007D718A"/>
    <w:rsid w:val="007E0D47"/>
    <w:rsid w:val="008A03C2"/>
    <w:rsid w:val="008C49CE"/>
    <w:rsid w:val="00901667"/>
    <w:rsid w:val="00906FE8"/>
    <w:rsid w:val="009078DE"/>
    <w:rsid w:val="0095517F"/>
    <w:rsid w:val="00A53502"/>
    <w:rsid w:val="00A764E1"/>
    <w:rsid w:val="00AE28B9"/>
    <w:rsid w:val="00B2031B"/>
    <w:rsid w:val="00B579B6"/>
    <w:rsid w:val="00BD648F"/>
    <w:rsid w:val="00C14447"/>
    <w:rsid w:val="00C210DE"/>
    <w:rsid w:val="00C24ABD"/>
    <w:rsid w:val="00C56BA2"/>
    <w:rsid w:val="00C72299"/>
    <w:rsid w:val="00C76F3D"/>
    <w:rsid w:val="00C77D4C"/>
    <w:rsid w:val="00C92390"/>
    <w:rsid w:val="00CE1A2C"/>
    <w:rsid w:val="00CF5690"/>
    <w:rsid w:val="00CF71FE"/>
    <w:rsid w:val="00D02636"/>
    <w:rsid w:val="00D20040"/>
    <w:rsid w:val="00D55465"/>
    <w:rsid w:val="00D8207F"/>
    <w:rsid w:val="00DB3352"/>
    <w:rsid w:val="00E57028"/>
    <w:rsid w:val="00E67B77"/>
    <w:rsid w:val="00F07BBB"/>
    <w:rsid w:val="00F16600"/>
    <w:rsid w:val="00F43426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DD"/>
    <w:pPr>
      <w:spacing w:after="180" w:line="264" w:lineRule="auto"/>
    </w:pPr>
    <w:rPr>
      <w:rFonts w:ascii="Tw Cen MT" w:eastAsia="Times New Roman" w:hAnsi="Tw Cen MT" w:cs="Times New Roman"/>
      <w:sz w:val="23"/>
      <w:szCs w:val="23"/>
    </w:rPr>
  </w:style>
  <w:style w:type="paragraph" w:styleId="Ttulo1">
    <w:name w:val="heading 1"/>
    <w:basedOn w:val="Normal"/>
    <w:next w:val="Normal"/>
    <w:link w:val="Ttulo1Char"/>
    <w:uiPriority w:val="9"/>
    <w:qFormat/>
    <w:rsid w:val="0079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9185C"/>
    <w:pPr>
      <w:keepNext w:val="0"/>
      <w:keepLines w:val="0"/>
      <w:numPr>
        <w:numId w:val="2"/>
      </w:numPr>
      <w:spacing w:before="300" w:after="80" w:line="360" w:lineRule="auto"/>
      <w:ind w:left="465"/>
      <w:jc w:val="center"/>
      <w:outlineLvl w:val="1"/>
    </w:pPr>
    <w:rPr>
      <w:rFonts w:ascii="Bookman Old Style" w:eastAsia="Times New Roman" w:hAnsi="Bookman Old Style" w:cs="Times New Roman"/>
      <w:bCs w:val="0"/>
      <w:caps/>
      <w:color w:val="775F5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9185C"/>
    <w:rPr>
      <w:rFonts w:ascii="Bookman Old Style" w:eastAsia="Times New Roman" w:hAnsi="Bookman Old Style" w:cs="Times New Roman"/>
      <w:b/>
      <w:caps/>
      <w:color w:val="775F55"/>
      <w:sz w:val="32"/>
      <w:szCs w:val="32"/>
    </w:rPr>
  </w:style>
  <w:style w:type="paragraph" w:styleId="Legenda">
    <w:name w:val="caption"/>
    <w:basedOn w:val="Normal"/>
    <w:next w:val="Normal"/>
    <w:uiPriority w:val="35"/>
    <w:unhideWhenUsed/>
    <w:qFormat/>
    <w:rsid w:val="0079185C"/>
    <w:rPr>
      <w:b/>
      <w:bCs/>
      <w:caps/>
      <w:sz w:val="16"/>
      <w:szCs w:val="16"/>
    </w:rPr>
  </w:style>
  <w:style w:type="paragraph" w:styleId="PargrafodaLista">
    <w:name w:val="List Paragraph"/>
    <w:basedOn w:val="Normal"/>
    <w:uiPriority w:val="34"/>
    <w:unhideWhenUsed/>
    <w:qFormat/>
    <w:rsid w:val="0079185C"/>
    <w:pPr>
      <w:ind w:left="720"/>
      <w:contextualSpacing/>
    </w:pPr>
  </w:style>
  <w:style w:type="paragraph" w:styleId="SemEspaamento">
    <w:name w:val="No Spacing"/>
    <w:basedOn w:val="Normal"/>
    <w:link w:val="SemEspaamentoChar"/>
    <w:uiPriority w:val="1"/>
    <w:qFormat/>
    <w:rsid w:val="0079185C"/>
    <w:pPr>
      <w:spacing w:after="0" w:line="240" w:lineRule="auto"/>
    </w:pPr>
    <w:rPr>
      <w:rFonts w:eastAsia="Tw Cen MT"/>
      <w:szCs w:val="20"/>
    </w:rPr>
  </w:style>
  <w:style w:type="character" w:customStyle="1" w:styleId="SemEspaamentoChar">
    <w:name w:val="Sem Espaçamento Char"/>
    <w:link w:val="SemEspaamento"/>
    <w:uiPriority w:val="1"/>
    <w:rsid w:val="0079185C"/>
    <w:rPr>
      <w:rFonts w:ascii="Tw Cen MT" w:eastAsia="Tw Cen MT" w:hAnsi="Tw Cen MT" w:cs="Times New Roman"/>
      <w:sz w:val="23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9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31B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8B9"/>
    <w:rPr>
      <w:rFonts w:ascii="Tw Cen MT" w:eastAsia="Times New Roman" w:hAnsi="Tw Cen MT" w:cs="Times New Roman"/>
      <w:sz w:val="23"/>
      <w:szCs w:val="23"/>
    </w:rPr>
  </w:style>
  <w:style w:type="paragraph" w:styleId="Rodap">
    <w:name w:val="footer"/>
    <w:basedOn w:val="Normal"/>
    <w:link w:val="RodapChar"/>
    <w:uiPriority w:val="99"/>
    <w:unhideWhenUsed/>
    <w:rsid w:val="00AE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8B9"/>
    <w:rPr>
      <w:rFonts w:ascii="Tw Cen MT" w:eastAsia="Times New Roman" w:hAnsi="Tw Cen MT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DD"/>
    <w:pPr>
      <w:spacing w:after="180" w:line="264" w:lineRule="auto"/>
    </w:pPr>
    <w:rPr>
      <w:rFonts w:ascii="Tw Cen MT" w:eastAsia="Times New Roman" w:hAnsi="Tw Cen MT" w:cs="Times New Roman"/>
      <w:sz w:val="23"/>
      <w:szCs w:val="23"/>
    </w:rPr>
  </w:style>
  <w:style w:type="paragraph" w:styleId="Ttulo1">
    <w:name w:val="heading 1"/>
    <w:basedOn w:val="Normal"/>
    <w:next w:val="Normal"/>
    <w:link w:val="Ttulo1Char"/>
    <w:uiPriority w:val="9"/>
    <w:qFormat/>
    <w:rsid w:val="00791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9185C"/>
    <w:pPr>
      <w:keepNext w:val="0"/>
      <w:keepLines w:val="0"/>
      <w:numPr>
        <w:numId w:val="2"/>
      </w:numPr>
      <w:spacing w:before="300" w:after="80" w:line="360" w:lineRule="auto"/>
      <w:ind w:left="465"/>
      <w:jc w:val="center"/>
      <w:outlineLvl w:val="1"/>
    </w:pPr>
    <w:rPr>
      <w:rFonts w:ascii="Bookman Old Style" w:eastAsia="Times New Roman" w:hAnsi="Bookman Old Style" w:cs="Times New Roman"/>
      <w:bCs w:val="0"/>
      <w:caps/>
      <w:color w:val="775F5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9185C"/>
    <w:rPr>
      <w:rFonts w:ascii="Bookman Old Style" w:eastAsia="Times New Roman" w:hAnsi="Bookman Old Style" w:cs="Times New Roman"/>
      <w:b/>
      <w:caps/>
      <w:color w:val="775F55"/>
      <w:sz w:val="32"/>
      <w:szCs w:val="32"/>
    </w:rPr>
  </w:style>
  <w:style w:type="paragraph" w:styleId="Legenda">
    <w:name w:val="caption"/>
    <w:basedOn w:val="Normal"/>
    <w:next w:val="Normal"/>
    <w:uiPriority w:val="35"/>
    <w:unhideWhenUsed/>
    <w:qFormat/>
    <w:rsid w:val="0079185C"/>
    <w:rPr>
      <w:b/>
      <w:bCs/>
      <w:caps/>
      <w:sz w:val="16"/>
      <w:szCs w:val="16"/>
    </w:rPr>
  </w:style>
  <w:style w:type="paragraph" w:styleId="PargrafodaLista">
    <w:name w:val="List Paragraph"/>
    <w:basedOn w:val="Normal"/>
    <w:uiPriority w:val="34"/>
    <w:unhideWhenUsed/>
    <w:qFormat/>
    <w:rsid w:val="0079185C"/>
    <w:pPr>
      <w:ind w:left="720"/>
      <w:contextualSpacing/>
    </w:pPr>
  </w:style>
  <w:style w:type="paragraph" w:styleId="SemEspaamento">
    <w:name w:val="No Spacing"/>
    <w:basedOn w:val="Normal"/>
    <w:link w:val="SemEspaamentoChar"/>
    <w:uiPriority w:val="1"/>
    <w:qFormat/>
    <w:rsid w:val="0079185C"/>
    <w:pPr>
      <w:spacing w:after="0" w:line="240" w:lineRule="auto"/>
    </w:pPr>
    <w:rPr>
      <w:rFonts w:eastAsia="Tw Cen MT"/>
      <w:szCs w:val="20"/>
    </w:rPr>
  </w:style>
  <w:style w:type="character" w:customStyle="1" w:styleId="SemEspaamentoChar">
    <w:name w:val="Sem Espaçamento Char"/>
    <w:link w:val="SemEspaamento"/>
    <w:uiPriority w:val="1"/>
    <w:rsid w:val="0079185C"/>
    <w:rPr>
      <w:rFonts w:ascii="Tw Cen MT" w:eastAsia="Tw Cen MT" w:hAnsi="Tw Cen MT" w:cs="Times New Roman"/>
      <w:sz w:val="23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9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31B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8B9"/>
    <w:rPr>
      <w:rFonts w:ascii="Tw Cen MT" w:eastAsia="Times New Roman" w:hAnsi="Tw Cen MT" w:cs="Times New Roman"/>
      <w:sz w:val="23"/>
      <w:szCs w:val="23"/>
    </w:rPr>
  </w:style>
  <w:style w:type="paragraph" w:styleId="Rodap">
    <w:name w:val="footer"/>
    <w:basedOn w:val="Normal"/>
    <w:link w:val="RodapChar"/>
    <w:uiPriority w:val="99"/>
    <w:unhideWhenUsed/>
    <w:rsid w:val="00AE2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8B9"/>
    <w:rPr>
      <w:rFonts w:ascii="Tw Cen MT" w:eastAsia="Times New Roman" w:hAnsi="Tw Cen MT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agro.localhost\seagro\COORDENADORIA%20DE%20DESENVOLVIMENTO%20ANIMAL\COORD.%20DE%20DESENVOL.%20ANIMAL%20-%202015\DADOS%20PRODU&#199;AO\DADOS%20IBGE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agro.localhost\seagro\COORDENADORIA%20DE%20DESENVOLVIMENTO%20ANIMAL\COORD.%20DE%20DESENVOL.%20ANIMAL%20-%202015\DADOS%20PRODU&#199;AO\DADOS%20IBGE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agro.localhost\seagro\COORDENADORIA%20DE%20DESENVOLVIMENTO%20ANIMAL\COORD.%20DE%20DESENVOL.%20ANIMAL%20-%202015\DADOS%20PRODU&#199;AO\DADOS%20IBG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/>
              <a:t>Efetivo Rebanho Bovino TO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 baseline="0"/>
              <a:t>Crescimento de 95,25% </a:t>
            </a:r>
            <a:endParaRPr lang="pt-BR"/>
          </a:p>
        </c:rich>
      </c:tx>
      <c:layout>
        <c:manualLayout>
          <c:xMode val="edge"/>
          <c:yMode val="edge"/>
          <c:x val="0.36678689357378713"/>
          <c:y val="4.238258877434135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053789786678473"/>
          <c:y val="0.20618625894765807"/>
          <c:w val="0.82437420260382122"/>
          <c:h val="0.60824946389559131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bovinos!$A$4:$A$30</c:f>
              <c:numCache>
                <c:formatCode>General</c:formatCode>
                <c:ptCount val="27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</c:numCache>
            </c:numRef>
          </c:cat>
          <c:val>
            <c:numRef>
              <c:f>bovinos!$G$4:$G$30</c:f>
              <c:numCache>
                <c:formatCode>#,##0</c:formatCode>
                <c:ptCount val="27"/>
                <c:pt idx="0">
                  <c:v>4189580</c:v>
                </c:pt>
                <c:pt idx="1">
                  <c:v>4309160</c:v>
                </c:pt>
                <c:pt idx="2">
                  <c:v>4440540</c:v>
                </c:pt>
                <c:pt idx="3">
                  <c:v>4623500</c:v>
                </c:pt>
                <c:pt idx="4">
                  <c:v>5138904</c:v>
                </c:pt>
                <c:pt idx="5">
                  <c:v>5374168</c:v>
                </c:pt>
                <c:pt idx="6">
                  <c:v>5544400</c:v>
                </c:pt>
                <c:pt idx="7">
                  <c:v>5242655</c:v>
                </c:pt>
                <c:pt idx="8">
                  <c:v>5350885</c:v>
                </c:pt>
                <c:pt idx="9">
                  <c:v>5441860</c:v>
                </c:pt>
                <c:pt idx="10">
                  <c:v>5813170</c:v>
                </c:pt>
                <c:pt idx="11">
                  <c:v>6142096</c:v>
                </c:pt>
                <c:pt idx="12">
                  <c:v>6570653</c:v>
                </c:pt>
                <c:pt idx="13">
                  <c:v>6979102</c:v>
                </c:pt>
                <c:pt idx="14">
                  <c:v>7659743</c:v>
                </c:pt>
                <c:pt idx="15">
                  <c:v>7924546</c:v>
                </c:pt>
                <c:pt idx="16">
                  <c:v>7961926</c:v>
                </c:pt>
                <c:pt idx="17">
                  <c:v>7760590</c:v>
                </c:pt>
                <c:pt idx="18">
                  <c:v>7395450</c:v>
                </c:pt>
                <c:pt idx="19">
                  <c:v>7392515</c:v>
                </c:pt>
                <c:pt idx="20">
                  <c:v>7605249</c:v>
                </c:pt>
                <c:pt idx="21">
                  <c:v>7994200</c:v>
                </c:pt>
                <c:pt idx="22">
                  <c:v>8025400</c:v>
                </c:pt>
                <c:pt idx="23" formatCode="_-* #,##0_-;\-* #,##0_-;_-* &quot;-&quot;??_-;_-@_-">
                  <c:v>8082336</c:v>
                </c:pt>
                <c:pt idx="24" formatCode="_-* #,##0_-;\-* #,##0_-;_-* &quot;-&quot;??_-;_-@_-">
                  <c:v>8140580</c:v>
                </c:pt>
                <c:pt idx="25" formatCode="_-* #,##0_-;\-* #,##0_-;_-* &quot;-&quot;??_-;_-@_-">
                  <c:v>8102565</c:v>
                </c:pt>
                <c:pt idx="26" formatCode="_-* #,##0_-;\-* #,##0_-;_-* &quot;-&quot;??_-;_-@_-">
                  <c:v>8180224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27456"/>
        <c:axId val="117828992"/>
      </c:barChart>
      <c:catAx>
        <c:axId val="11782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1782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8289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1782745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/>
              <a:t>EFETIVO DE OVINOS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/>
              <a:t>Crescimento de 218,22%</a:t>
            </a:r>
          </a:p>
        </c:rich>
      </c:tx>
      <c:layout>
        <c:manualLayout>
          <c:xMode val="edge"/>
          <c:yMode val="edge"/>
          <c:x val="0.37272774994034835"/>
          <c:y val="3.58422939068100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272745431974183"/>
          <c:y val="0.23655996779782634"/>
          <c:w val="0.85606187272412515"/>
          <c:h val="0.5698944678765817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ovinos!$A$4:$A$28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ovinos!$B$4:$B$26</c:f>
            </c:numRef>
          </c:val>
        </c:ser>
        <c:ser>
          <c:idx val="1"/>
          <c:order val="1"/>
          <c:invertIfNegative val="0"/>
          <c:cat>
            <c:numRef>
              <c:f>ovinos!$A$4:$A$28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ovinos!$D$4:$D$26</c:f>
            </c:numRef>
          </c:val>
        </c:ser>
        <c:ser>
          <c:idx val="3"/>
          <c:order val="2"/>
          <c:invertIfNegative val="0"/>
          <c:cat>
            <c:numRef>
              <c:f>ovinos!$A$4:$A$28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ovinos!$E$4:$E$26</c:f>
            </c:numRef>
          </c:val>
        </c:ser>
        <c:ser>
          <c:idx val="2"/>
          <c:order val="3"/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ovinos!$A$4:$A$28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ovinos!$F$4:$F$30</c:f>
              <c:numCache>
                <c:formatCode>_-* #,##0_-;\-* #,##0_-;_-* "-"??_-;_-@_-</c:formatCode>
                <c:ptCount val="27"/>
                <c:pt idx="0">
                  <c:v>42390</c:v>
                </c:pt>
                <c:pt idx="1">
                  <c:v>43350</c:v>
                </c:pt>
                <c:pt idx="2">
                  <c:v>43560</c:v>
                </c:pt>
                <c:pt idx="3">
                  <c:v>45730</c:v>
                </c:pt>
                <c:pt idx="4">
                  <c:v>47531</c:v>
                </c:pt>
                <c:pt idx="5">
                  <c:v>48985</c:v>
                </c:pt>
                <c:pt idx="6">
                  <c:v>50553</c:v>
                </c:pt>
                <c:pt idx="7">
                  <c:v>47277</c:v>
                </c:pt>
                <c:pt idx="8">
                  <c:v>49679</c:v>
                </c:pt>
                <c:pt idx="9">
                  <c:v>50266</c:v>
                </c:pt>
                <c:pt idx="10">
                  <c:v>52089</c:v>
                </c:pt>
                <c:pt idx="11">
                  <c:v>51857</c:v>
                </c:pt>
                <c:pt idx="12">
                  <c:v>51228</c:v>
                </c:pt>
                <c:pt idx="13">
                  <c:v>51218</c:v>
                </c:pt>
                <c:pt idx="14">
                  <c:v>64624</c:v>
                </c:pt>
                <c:pt idx="15">
                  <c:v>66217</c:v>
                </c:pt>
                <c:pt idx="16">
                  <c:v>64718</c:v>
                </c:pt>
                <c:pt idx="17">
                  <c:v>65532</c:v>
                </c:pt>
                <c:pt idx="18">
                  <c:v>74855</c:v>
                </c:pt>
                <c:pt idx="19">
                  <c:v>85955</c:v>
                </c:pt>
                <c:pt idx="20">
                  <c:v>89265</c:v>
                </c:pt>
                <c:pt idx="21">
                  <c:v>108062</c:v>
                </c:pt>
                <c:pt idx="22">
                  <c:v>113544</c:v>
                </c:pt>
                <c:pt idx="23">
                  <c:v>127680</c:v>
                </c:pt>
                <c:pt idx="24">
                  <c:v>132275</c:v>
                </c:pt>
                <c:pt idx="25">
                  <c:v>131386</c:v>
                </c:pt>
                <c:pt idx="26">
                  <c:v>134892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217472"/>
        <c:axId val="130219008"/>
      </c:barChart>
      <c:catAx>
        <c:axId val="13021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30219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219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-* #,##0_-;\-* #,##0_-;_-* &quot;-&quot;??_-;_-@_-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302174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/>
              <a:t>PRODUÇÃO APÍCOLA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/>
              <a:t>Crescimento de 19649,50%</a:t>
            </a:r>
          </a:p>
        </c:rich>
      </c:tx>
      <c:layout>
        <c:manualLayout>
          <c:xMode val="edge"/>
          <c:yMode val="edge"/>
          <c:x val="0.36818229539489378"/>
          <c:y val="3.58422939068100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454560923533564"/>
          <c:y val="0.23655996779782634"/>
          <c:w val="0.87424371780853127"/>
          <c:h val="0.5698944678765817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mel!$B$4:$B$26</c:f>
            </c:numRef>
          </c:val>
        </c:ser>
        <c:ser>
          <c:idx val="1"/>
          <c:order val="1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mel!$D$4:$D$26</c:f>
            </c:numRef>
          </c:val>
        </c:ser>
        <c:ser>
          <c:idx val="3"/>
          <c:order val="2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mel!$E$4:$E$26</c:f>
            </c:numRef>
          </c:val>
        </c:ser>
        <c:ser>
          <c:idx val="4"/>
          <c:order val="3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mel!$F$4:$F$26</c:f>
            </c:numRef>
          </c:val>
        </c:ser>
        <c:ser>
          <c:idx val="5"/>
          <c:order val="4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mel!$G$4:$G$26</c:f>
            </c:numRef>
          </c:val>
        </c:ser>
        <c:ser>
          <c:idx val="6"/>
          <c:order val="5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mel!$H$4:$H$26</c:f>
            </c:numRef>
          </c:val>
        </c:ser>
        <c:ser>
          <c:idx val="7"/>
          <c:order val="6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mel!$I$4:$I$26</c:f>
            </c:numRef>
          </c:val>
        </c:ser>
        <c:ser>
          <c:idx val="8"/>
          <c:order val="7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mel!$J$4:$J$26</c:f>
            </c:numRef>
          </c:val>
        </c:ser>
        <c:ser>
          <c:idx val="9"/>
          <c:order val="8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mel!$K$4:$K$26</c:f>
            </c:numRef>
          </c:val>
        </c:ser>
        <c:ser>
          <c:idx val="10"/>
          <c:order val="9"/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mel!$L$4:$L$26</c:f>
            </c:numRef>
          </c:val>
        </c:ser>
        <c:ser>
          <c:idx val="2"/>
          <c:order val="10"/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mel!$A$4:$A$28</c:f>
              <c:numCache>
                <c:formatCode>General</c:formatCode>
                <c:ptCount val="25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</c:numCache>
            </c:numRef>
          </c:cat>
          <c:val>
            <c:numRef>
              <c:f>mel!$M$4:$M$28</c:f>
              <c:numCache>
                <c:formatCode>General</c:formatCode>
                <c:ptCount val="25"/>
                <c:pt idx="0">
                  <c:v>600</c:v>
                </c:pt>
                <c:pt idx="1">
                  <c:v>250</c:v>
                </c:pt>
                <c:pt idx="2" formatCode="#,##0">
                  <c:v>2000</c:v>
                </c:pt>
                <c:pt idx="3" formatCode="#,##0">
                  <c:v>3000</c:v>
                </c:pt>
                <c:pt idx="4" formatCode="#,##0">
                  <c:v>3000</c:v>
                </c:pt>
                <c:pt idx="5" formatCode="#,##0">
                  <c:v>6700</c:v>
                </c:pt>
                <c:pt idx="6" formatCode="#,##0">
                  <c:v>29509</c:v>
                </c:pt>
                <c:pt idx="7" formatCode="#,##0">
                  <c:v>27615</c:v>
                </c:pt>
                <c:pt idx="8" formatCode="#,##0">
                  <c:v>25206</c:v>
                </c:pt>
                <c:pt idx="9" formatCode="#,##0">
                  <c:v>21820</c:v>
                </c:pt>
                <c:pt idx="10" formatCode="#,##0">
                  <c:v>23890</c:v>
                </c:pt>
                <c:pt idx="11" formatCode="#,##0">
                  <c:v>46705</c:v>
                </c:pt>
                <c:pt idx="12" formatCode="#,##0">
                  <c:v>55835</c:v>
                </c:pt>
                <c:pt idx="13" formatCode="#,##0">
                  <c:v>70740</c:v>
                </c:pt>
                <c:pt idx="14" formatCode="#,##0">
                  <c:v>90920</c:v>
                </c:pt>
                <c:pt idx="15" formatCode="#,##0">
                  <c:v>89330</c:v>
                </c:pt>
                <c:pt idx="16" formatCode="#,##0">
                  <c:v>111564</c:v>
                </c:pt>
                <c:pt idx="17" formatCode="#,##0">
                  <c:v>117780</c:v>
                </c:pt>
                <c:pt idx="18" formatCode="#,##0">
                  <c:v>113960</c:v>
                </c:pt>
                <c:pt idx="19" formatCode="#,##0">
                  <c:v>134864</c:v>
                </c:pt>
                <c:pt idx="20" formatCode="#,##0">
                  <c:v>129885</c:v>
                </c:pt>
                <c:pt idx="21" formatCode="#,##0">
                  <c:v>156171</c:v>
                </c:pt>
                <c:pt idx="22" formatCode="#,##0">
                  <c:v>153485</c:v>
                </c:pt>
                <c:pt idx="23" formatCode="#,##0">
                  <c:v>124827</c:v>
                </c:pt>
                <c:pt idx="24" formatCode="#,##0">
                  <c:v>118497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538112"/>
        <c:axId val="130544000"/>
      </c:barChart>
      <c:catAx>
        <c:axId val="13053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30544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5440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305381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2485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Jardim</dc:creator>
  <cp:lastModifiedBy>Maria Helena Borges</cp:lastModifiedBy>
  <cp:revision>3</cp:revision>
  <dcterms:created xsi:type="dcterms:W3CDTF">2015-10-06T13:08:00Z</dcterms:created>
  <dcterms:modified xsi:type="dcterms:W3CDTF">2015-10-06T14:37:00Z</dcterms:modified>
</cp:coreProperties>
</file>