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B67" w:rsidRDefault="00897B67" w:rsidP="00897B67">
      <w:pPr>
        <w:jc w:val="center"/>
        <w:rPr>
          <w:color w:val="0070C0"/>
          <w:sz w:val="40"/>
          <w:szCs w:val="40"/>
        </w:rPr>
      </w:pPr>
      <w:bookmarkStart w:id="0" w:name="_Toc373106139"/>
    </w:p>
    <w:p w:rsidR="00897B67" w:rsidRDefault="00897B67" w:rsidP="00897B67">
      <w:pPr>
        <w:jc w:val="center"/>
        <w:rPr>
          <w:color w:val="0070C0"/>
          <w:sz w:val="40"/>
          <w:szCs w:val="40"/>
        </w:rPr>
      </w:pPr>
    </w:p>
    <w:p w:rsidR="00897B67" w:rsidRDefault="00897B67" w:rsidP="00897B67">
      <w:pPr>
        <w:jc w:val="center"/>
        <w:rPr>
          <w:color w:val="17365D" w:themeColor="text2" w:themeShade="BF"/>
          <w:sz w:val="40"/>
          <w:szCs w:val="40"/>
        </w:rPr>
      </w:pPr>
    </w:p>
    <w:p w:rsidR="00897B67" w:rsidRDefault="00897B67" w:rsidP="00897B67">
      <w:pPr>
        <w:jc w:val="center"/>
        <w:rPr>
          <w:color w:val="17365D" w:themeColor="text2" w:themeShade="BF"/>
          <w:sz w:val="40"/>
          <w:szCs w:val="40"/>
        </w:rPr>
      </w:pPr>
    </w:p>
    <w:p w:rsidR="00897B67" w:rsidRDefault="00897B67" w:rsidP="00897B67">
      <w:pPr>
        <w:jc w:val="center"/>
        <w:rPr>
          <w:color w:val="17365D" w:themeColor="text2" w:themeShade="BF"/>
          <w:sz w:val="40"/>
          <w:szCs w:val="40"/>
        </w:rPr>
      </w:pPr>
    </w:p>
    <w:p w:rsidR="00897B67" w:rsidRDefault="00897B67" w:rsidP="00897B67">
      <w:pPr>
        <w:jc w:val="center"/>
        <w:rPr>
          <w:color w:val="17365D" w:themeColor="text2" w:themeShade="BF"/>
          <w:sz w:val="40"/>
          <w:szCs w:val="40"/>
        </w:rPr>
      </w:pPr>
      <w:r w:rsidRPr="00C65C21">
        <w:rPr>
          <w:color w:val="17365D" w:themeColor="text2" w:themeShade="BF"/>
          <w:sz w:val="40"/>
          <w:szCs w:val="40"/>
        </w:rPr>
        <w:t>NOTA TÉCNICA DRE ATR 00</w:t>
      </w:r>
      <w:r>
        <w:rPr>
          <w:color w:val="17365D" w:themeColor="text2" w:themeShade="BF"/>
          <w:sz w:val="40"/>
          <w:szCs w:val="40"/>
        </w:rPr>
        <w:t>9</w:t>
      </w:r>
      <w:r w:rsidRPr="00C65C21">
        <w:rPr>
          <w:color w:val="17365D" w:themeColor="text2" w:themeShade="BF"/>
          <w:sz w:val="40"/>
          <w:szCs w:val="40"/>
        </w:rPr>
        <w:t>/2014</w:t>
      </w:r>
    </w:p>
    <w:p w:rsidR="00897B67" w:rsidRDefault="00897B67" w:rsidP="00897B67">
      <w:pPr>
        <w:jc w:val="center"/>
        <w:rPr>
          <w:color w:val="17365D" w:themeColor="text2" w:themeShade="BF"/>
          <w:sz w:val="40"/>
          <w:szCs w:val="40"/>
        </w:rPr>
      </w:pPr>
      <w:r>
        <w:rPr>
          <w:color w:val="17365D" w:themeColor="text2" w:themeShade="BF"/>
          <w:sz w:val="40"/>
          <w:szCs w:val="40"/>
        </w:rPr>
        <w:t>009.5</w:t>
      </w:r>
    </w:p>
    <w:p w:rsidR="00897B67" w:rsidRPr="00C65C21" w:rsidRDefault="00897B67" w:rsidP="00897B67">
      <w:pPr>
        <w:jc w:val="center"/>
        <w:rPr>
          <w:color w:val="17365D" w:themeColor="text2" w:themeShade="BF"/>
          <w:sz w:val="40"/>
          <w:szCs w:val="40"/>
        </w:rPr>
      </w:pPr>
      <w:r>
        <w:rPr>
          <w:color w:val="17365D" w:themeColor="text2" w:themeShade="BF"/>
          <w:sz w:val="40"/>
          <w:szCs w:val="40"/>
        </w:rPr>
        <w:t>MODELO TARIFÁRIO</w:t>
      </w:r>
    </w:p>
    <w:p w:rsidR="00897B67" w:rsidRDefault="00897B67" w:rsidP="00897B67">
      <w:pPr>
        <w:jc w:val="center"/>
        <w:rPr>
          <w:color w:val="17365D" w:themeColor="text2" w:themeShade="BF"/>
          <w:sz w:val="40"/>
          <w:szCs w:val="40"/>
        </w:rPr>
      </w:pPr>
    </w:p>
    <w:p w:rsidR="00897B67" w:rsidRPr="00C65C21" w:rsidRDefault="00897B67" w:rsidP="00897B67">
      <w:pPr>
        <w:jc w:val="center"/>
        <w:rPr>
          <w:color w:val="17365D" w:themeColor="text2" w:themeShade="BF"/>
          <w:sz w:val="40"/>
          <w:szCs w:val="40"/>
        </w:rPr>
      </w:pPr>
    </w:p>
    <w:p w:rsidR="00897B67" w:rsidRDefault="00897B67" w:rsidP="00897B67">
      <w:pPr>
        <w:jc w:val="center"/>
        <w:rPr>
          <w:b/>
          <w:bCs/>
          <w:color w:val="4F81BD"/>
          <w:sz w:val="40"/>
          <w:szCs w:val="40"/>
        </w:rPr>
      </w:pPr>
      <w:r w:rsidRPr="00C65C21">
        <w:rPr>
          <w:color w:val="17365D" w:themeColor="text2" w:themeShade="BF"/>
          <w:sz w:val="40"/>
          <w:szCs w:val="40"/>
        </w:rPr>
        <w:t xml:space="preserve">Modelagem para Implantação da Regulação Tarifária aplicada ao setor de Transporte Público Coletivo de Passageiros Intermunicipal do Tocantins </w:t>
      </w:r>
    </w:p>
    <w:p w:rsidR="00897B67" w:rsidRDefault="00897B67" w:rsidP="00897B67">
      <w:pPr>
        <w:jc w:val="center"/>
        <w:rPr>
          <w:b/>
          <w:bCs/>
          <w:color w:val="4F81BD"/>
          <w:sz w:val="40"/>
          <w:szCs w:val="40"/>
        </w:rPr>
      </w:pPr>
    </w:p>
    <w:p w:rsidR="00897B67" w:rsidRPr="00E053AC" w:rsidRDefault="00897B67" w:rsidP="00897B67">
      <w:pPr>
        <w:rPr>
          <w:sz w:val="24"/>
          <w:szCs w:val="24"/>
        </w:rPr>
      </w:pPr>
    </w:p>
    <w:p w:rsidR="00897B67" w:rsidRDefault="00897B67" w:rsidP="00897B67">
      <w:pPr>
        <w:jc w:val="center"/>
        <w:rPr>
          <w:b/>
          <w:bCs/>
          <w:color w:val="1F497D"/>
          <w:sz w:val="60"/>
          <w:szCs w:val="60"/>
        </w:rPr>
      </w:pPr>
      <w:r w:rsidRPr="008E64F4">
        <w:rPr>
          <w:b/>
          <w:bCs/>
          <w:noProof/>
          <w:color w:val="1F497D"/>
          <w:sz w:val="60"/>
          <w:szCs w:val="60"/>
          <w:lang w:eastAsia="pt-BR"/>
        </w:rPr>
        <w:drawing>
          <wp:inline distT="0" distB="0" distL="0" distR="0">
            <wp:extent cx="5760085" cy="1353391"/>
            <wp:effectExtent l="19050" t="0" r="0" b="0"/>
            <wp:docPr id="4" name="Imagem 2" descr="logo_áreas de atuaç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áreas de atuação.jpg"/>
                    <pic:cNvPicPr/>
                  </pic:nvPicPr>
                  <pic:blipFill>
                    <a:blip r:embed="rId8" cstate="print"/>
                    <a:stretch>
                      <a:fillRect/>
                    </a:stretch>
                  </pic:blipFill>
                  <pic:spPr>
                    <a:xfrm>
                      <a:off x="0" y="0"/>
                      <a:ext cx="5760085" cy="1353391"/>
                    </a:xfrm>
                    <a:prstGeom prst="rect">
                      <a:avLst/>
                    </a:prstGeom>
                  </pic:spPr>
                </pic:pic>
              </a:graphicData>
            </a:graphic>
          </wp:inline>
        </w:drawing>
      </w:r>
    </w:p>
    <w:p w:rsidR="00897B67" w:rsidRDefault="00897B67" w:rsidP="00897B67">
      <w:pPr>
        <w:jc w:val="center"/>
        <w:rPr>
          <w:rFonts w:asciiTheme="minorHAnsi" w:hAnsiTheme="minorHAnsi"/>
          <w:b/>
          <w:sz w:val="24"/>
          <w:szCs w:val="24"/>
        </w:rPr>
      </w:pPr>
      <w:r>
        <w:rPr>
          <w:rFonts w:asciiTheme="minorHAnsi" w:hAnsiTheme="minorHAnsi"/>
          <w:b/>
          <w:sz w:val="24"/>
          <w:szCs w:val="24"/>
        </w:rPr>
        <w:lastRenderedPageBreak/>
        <w:t>ESTRUTURA ORGANIZACIONAL DA ATR</w:t>
      </w:r>
    </w:p>
    <w:p w:rsidR="00897B67" w:rsidRPr="00C03D9C" w:rsidRDefault="00897B67" w:rsidP="00897B67">
      <w:pPr>
        <w:rPr>
          <w:rFonts w:asciiTheme="minorHAnsi" w:hAnsiTheme="minorHAnsi"/>
          <w:b/>
          <w:sz w:val="24"/>
          <w:szCs w:val="24"/>
        </w:rPr>
      </w:pPr>
    </w:p>
    <w:tbl>
      <w:tblPr>
        <w:tblStyle w:val="Tabelacomgrade"/>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2"/>
        <w:gridCol w:w="4717"/>
      </w:tblGrid>
      <w:tr w:rsidR="00897B67" w:rsidTr="00782F3B">
        <w:tc>
          <w:tcPr>
            <w:tcW w:w="4322" w:type="dxa"/>
          </w:tcPr>
          <w:p w:rsidR="00897B67" w:rsidRPr="00C03D9C" w:rsidRDefault="00897B67" w:rsidP="00782F3B">
            <w:pPr>
              <w:pStyle w:val="NormalWeb"/>
              <w:jc w:val="center"/>
              <w:rPr>
                <w:rStyle w:val="Forte"/>
                <w:rFonts w:asciiTheme="minorHAnsi" w:hAnsiTheme="minorHAnsi"/>
              </w:rPr>
            </w:pPr>
            <w:r w:rsidRPr="00C03D9C">
              <w:rPr>
                <w:rStyle w:val="Forte"/>
                <w:rFonts w:asciiTheme="minorHAnsi" w:hAnsiTheme="minorHAnsi"/>
              </w:rPr>
              <w:t>Coronel Constantino Magno Castro Filho</w:t>
            </w:r>
          </w:p>
          <w:p w:rsidR="00897B67" w:rsidRPr="00C03D9C" w:rsidRDefault="00897B67" w:rsidP="00782F3B">
            <w:pPr>
              <w:pStyle w:val="NormalWeb"/>
              <w:jc w:val="center"/>
              <w:rPr>
                <w:rFonts w:asciiTheme="minorHAnsi" w:hAnsiTheme="minorHAnsi"/>
                <w:b/>
              </w:rPr>
            </w:pPr>
            <w:r w:rsidRPr="00C03D9C">
              <w:rPr>
                <w:rStyle w:val="Forte"/>
                <w:rFonts w:asciiTheme="minorHAnsi" w:hAnsiTheme="minorHAnsi"/>
              </w:rPr>
              <w:t>Presidente</w:t>
            </w:r>
          </w:p>
          <w:p w:rsidR="00897B67" w:rsidRPr="00C03D9C" w:rsidRDefault="00897B67" w:rsidP="00782F3B">
            <w:pPr>
              <w:pStyle w:val="NormalWeb"/>
              <w:jc w:val="center"/>
              <w:rPr>
                <w:rFonts w:asciiTheme="minorHAnsi" w:hAnsiTheme="minorHAnsi"/>
              </w:rPr>
            </w:pPr>
          </w:p>
          <w:p w:rsidR="00897B67" w:rsidRPr="00C03D9C" w:rsidRDefault="00897B67" w:rsidP="00782F3B">
            <w:pPr>
              <w:pStyle w:val="NormalWeb"/>
              <w:jc w:val="center"/>
              <w:rPr>
                <w:rStyle w:val="Forte"/>
                <w:rFonts w:asciiTheme="minorHAnsi" w:hAnsiTheme="minorHAnsi"/>
              </w:rPr>
            </w:pPr>
            <w:r w:rsidRPr="00C03D9C">
              <w:rPr>
                <w:rStyle w:val="Forte"/>
                <w:rFonts w:asciiTheme="minorHAnsi" w:hAnsiTheme="minorHAnsi"/>
              </w:rPr>
              <w:t>Sara Raquel Nunes Bezerra</w:t>
            </w:r>
          </w:p>
          <w:p w:rsidR="00897B67" w:rsidRPr="00C03D9C" w:rsidRDefault="00897B67" w:rsidP="00782F3B">
            <w:pPr>
              <w:pStyle w:val="NormalWeb"/>
              <w:jc w:val="center"/>
              <w:rPr>
                <w:rFonts w:asciiTheme="minorHAnsi" w:hAnsiTheme="minorHAnsi"/>
                <w:b/>
              </w:rPr>
            </w:pPr>
            <w:r w:rsidRPr="00C03D9C">
              <w:rPr>
                <w:rStyle w:val="Forte"/>
                <w:rFonts w:asciiTheme="minorHAnsi" w:hAnsiTheme="minorHAnsi"/>
              </w:rPr>
              <w:t>Chefe da Assessoria Jurídica</w:t>
            </w:r>
          </w:p>
          <w:p w:rsidR="00897B67" w:rsidRPr="00C03D9C" w:rsidRDefault="00897B67" w:rsidP="00782F3B">
            <w:pPr>
              <w:pStyle w:val="NormalWeb"/>
              <w:jc w:val="center"/>
              <w:rPr>
                <w:rStyle w:val="Forte"/>
                <w:rFonts w:asciiTheme="minorHAnsi" w:hAnsiTheme="minorHAnsi"/>
              </w:rPr>
            </w:pPr>
            <w:r w:rsidRPr="00C03D9C">
              <w:rPr>
                <w:rFonts w:asciiTheme="minorHAnsi" w:hAnsiTheme="minorHAnsi"/>
              </w:rPr>
              <w:br/>
              <w:t xml:space="preserve">  </w:t>
            </w:r>
            <w:r w:rsidRPr="00C03D9C">
              <w:rPr>
                <w:rFonts w:asciiTheme="minorHAnsi" w:hAnsiTheme="minorHAnsi"/>
              </w:rPr>
              <w:br/>
            </w:r>
            <w:r>
              <w:rPr>
                <w:rStyle w:val="Forte"/>
                <w:rFonts w:asciiTheme="minorHAnsi" w:hAnsiTheme="minorHAnsi"/>
              </w:rPr>
              <w:t xml:space="preserve">Lorena </w:t>
            </w:r>
            <w:proofErr w:type="spellStart"/>
            <w:r>
              <w:rPr>
                <w:rStyle w:val="Forte"/>
                <w:rFonts w:asciiTheme="minorHAnsi" w:hAnsiTheme="minorHAnsi"/>
              </w:rPr>
              <w:t>U</w:t>
            </w:r>
            <w:r w:rsidRPr="00C03D9C">
              <w:rPr>
                <w:rStyle w:val="Forte"/>
                <w:rFonts w:asciiTheme="minorHAnsi" w:hAnsiTheme="minorHAnsi"/>
              </w:rPr>
              <w:t>rsula</w:t>
            </w:r>
            <w:proofErr w:type="spellEnd"/>
            <w:r>
              <w:rPr>
                <w:rStyle w:val="Forte"/>
                <w:rFonts w:asciiTheme="minorHAnsi" w:hAnsiTheme="minorHAnsi"/>
              </w:rPr>
              <w:t xml:space="preserve"> G Coelho</w:t>
            </w:r>
          </w:p>
          <w:p w:rsidR="00897B67" w:rsidRPr="00C03D9C" w:rsidRDefault="00897B67" w:rsidP="00782F3B">
            <w:pPr>
              <w:pStyle w:val="NormalWeb"/>
              <w:jc w:val="center"/>
              <w:rPr>
                <w:rStyle w:val="Forte"/>
                <w:rFonts w:asciiTheme="minorHAnsi" w:hAnsiTheme="minorHAnsi"/>
                <w:b w:val="0"/>
              </w:rPr>
            </w:pPr>
            <w:r w:rsidRPr="00C03D9C">
              <w:rPr>
                <w:rStyle w:val="Forte"/>
                <w:rFonts w:asciiTheme="minorHAnsi" w:hAnsiTheme="minorHAnsi"/>
              </w:rPr>
              <w:t>Chefe da Assessoria de Comunicação</w:t>
            </w:r>
          </w:p>
          <w:p w:rsidR="00897B67" w:rsidRPr="00C03D9C" w:rsidRDefault="00897B67" w:rsidP="00782F3B">
            <w:pPr>
              <w:pStyle w:val="NormalWeb"/>
              <w:jc w:val="center"/>
              <w:rPr>
                <w:rFonts w:asciiTheme="minorHAnsi" w:hAnsiTheme="minorHAnsi"/>
              </w:rPr>
            </w:pPr>
          </w:p>
          <w:p w:rsidR="00897B67" w:rsidRPr="00C03D9C" w:rsidRDefault="00897B67" w:rsidP="00782F3B">
            <w:pPr>
              <w:pStyle w:val="NormalWeb"/>
              <w:jc w:val="center"/>
              <w:rPr>
                <w:rStyle w:val="Forte"/>
                <w:rFonts w:asciiTheme="minorHAnsi" w:hAnsiTheme="minorHAnsi"/>
              </w:rPr>
            </w:pPr>
            <w:r w:rsidRPr="00C03D9C">
              <w:rPr>
                <w:rStyle w:val="Forte"/>
                <w:rFonts w:asciiTheme="minorHAnsi" w:hAnsiTheme="minorHAnsi"/>
              </w:rPr>
              <w:t>Ana Maria Demétrio</w:t>
            </w:r>
          </w:p>
          <w:p w:rsidR="00897B67" w:rsidRPr="00C03D9C" w:rsidRDefault="00897B67" w:rsidP="00782F3B">
            <w:pPr>
              <w:pStyle w:val="NormalWeb"/>
              <w:jc w:val="center"/>
              <w:rPr>
                <w:rStyle w:val="Forte"/>
                <w:rFonts w:asciiTheme="minorHAnsi" w:hAnsiTheme="minorHAnsi"/>
                <w:b w:val="0"/>
              </w:rPr>
            </w:pPr>
            <w:r w:rsidRPr="00C03D9C">
              <w:rPr>
                <w:rStyle w:val="Forte"/>
                <w:rFonts w:asciiTheme="minorHAnsi" w:hAnsiTheme="minorHAnsi"/>
              </w:rPr>
              <w:t>Assessora de Planejamento e Controle</w:t>
            </w:r>
          </w:p>
          <w:p w:rsidR="00897B67" w:rsidRDefault="00897B67" w:rsidP="00782F3B">
            <w:pPr>
              <w:pStyle w:val="NormalWeb"/>
              <w:jc w:val="center"/>
              <w:rPr>
                <w:rStyle w:val="Forte"/>
                <w:rFonts w:asciiTheme="minorHAnsi" w:hAnsiTheme="minorHAnsi"/>
              </w:rPr>
            </w:pPr>
          </w:p>
          <w:p w:rsidR="00897B67" w:rsidRPr="00C03D9C" w:rsidRDefault="00897B67" w:rsidP="00782F3B">
            <w:pPr>
              <w:pStyle w:val="NormalWeb"/>
              <w:jc w:val="center"/>
              <w:rPr>
                <w:rStyle w:val="Forte"/>
                <w:rFonts w:asciiTheme="minorHAnsi" w:hAnsiTheme="minorHAnsi"/>
              </w:rPr>
            </w:pPr>
            <w:r w:rsidRPr="00C03D9C">
              <w:rPr>
                <w:rStyle w:val="Forte"/>
                <w:rFonts w:asciiTheme="minorHAnsi" w:hAnsiTheme="minorHAnsi"/>
              </w:rPr>
              <w:t>Aline</w:t>
            </w:r>
            <w:r>
              <w:rPr>
                <w:rStyle w:val="Forte"/>
                <w:rFonts w:asciiTheme="minorHAnsi" w:hAnsiTheme="minorHAnsi"/>
              </w:rPr>
              <w:t xml:space="preserve"> Aragão </w:t>
            </w:r>
            <w:proofErr w:type="spellStart"/>
            <w:r w:rsidRPr="00C03D9C">
              <w:rPr>
                <w:rStyle w:val="Forte"/>
                <w:rFonts w:asciiTheme="minorHAnsi" w:hAnsiTheme="minorHAnsi"/>
              </w:rPr>
              <w:t>Ishizawa</w:t>
            </w:r>
            <w:proofErr w:type="spellEnd"/>
          </w:p>
          <w:p w:rsidR="00897B67" w:rsidRDefault="00897B67" w:rsidP="00782F3B">
            <w:pPr>
              <w:pStyle w:val="NormalWeb"/>
              <w:jc w:val="center"/>
              <w:rPr>
                <w:rStyle w:val="Forte"/>
                <w:rFonts w:asciiTheme="minorHAnsi" w:hAnsiTheme="minorHAnsi"/>
                <w:b w:val="0"/>
              </w:rPr>
            </w:pPr>
            <w:r w:rsidRPr="00C03D9C">
              <w:rPr>
                <w:rStyle w:val="Forte"/>
                <w:rFonts w:asciiTheme="minorHAnsi" w:hAnsiTheme="minorHAnsi"/>
              </w:rPr>
              <w:t>Diretora</w:t>
            </w:r>
            <w:r>
              <w:rPr>
                <w:rStyle w:val="Forte"/>
                <w:rFonts w:asciiTheme="minorHAnsi" w:hAnsiTheme="minorHAnsi"/>
              </w:rPr>
              <w:t xml:space="preserve"> </w:t>
            </w:r>
            <w:r w:rsidRPr="00C03D9C">
              <w:rPr>
                <w:rStyle w:val="Forte"/>
                <w:rFonts w:asciiTheme="minorHAnsi" w:hAnsiTheme="minorHAnsi"/>
              </w:rPr>
              <w:t>Operacional</w:t>
            </w:r>
          </w:p>
          <w:p w:rsidR="00897B67" w:rsidRDefault="00897B67" w:rsidP="00782F3B">
            <w:pPr>
              <w:pStyle w:val="NormalWeb"/>
              <w:jc w:val="center"/>
              <w:rPr>
                <w:rStyle w:val="Forte"/>
                <w:rFonts w:asciiTheme="minorHAnsi" w:hAnsiTheme="minorHAnsi"/>
                <w:b w:val="0"/>
              </w:rPr>
            </w:pPr>
          </w:p>
          <w:p w:rsidR="00897B67" w:rsidRPr="00C03D9C" w:rsidRDefault="00897B67" w:rsidP="00782F3B">
            <w:pPr>
              <w:pStyle w:val="NormalWeb"/>
              <w:jc w:val="center"/>
              <w:rPr>
                <w:rStyle w:val="Forte"/>
                <w:rFonts w:asciiTheme="minorHAnsi" w:hAnsiTheme="minorHAnsi"/>
              </w:rPr>
            </w:pPr>
            <w:proofErr w:type="spellStart"/>
            <w:r w:rsidRPr="00C03D9C">
              <w:rPr>
                <w:rFonts w:asciiTheme="minorHAnsi" w:hAnsiTheme="minorHAnsi"/>
                <w:b/>
              </w:rPr>
              <w:t>A</w:t>
            </w:r>
            <w:r w:rsidRPr="00C03D9C">
              <w:rPr>
                <w:rStyle w:val="Forte"/>
                <w:rFonts w:asciiTheme="minorHAnsi" w:hAnsiTheme="minorHAnsi"/>
              </w:rPr>
              <w:t>bsalão</w:t>
            </w:r>
            <w:proofErr w:type="spellEnd"/>
            <w:r w:rsidRPr="00C03D9C">
              <w:rPr>
                <w:rStyle w:val="Forte"/>
                <w:rFonts w:asciiTheme="minorHAnsi" w:hAnsiTheme="minorHAnsi"/>
              </w:rPr>
              <w:t xml:space="preserve"> Rodrigues Pitombeira Neto</w:t>
            </w:r>
          </w:p>
          <w:p w:rsidR="00897B67" w:rsidRPr="00C03D9C" w:rsidRDefault="00897B67" w:rsidP="00782F3B">
            <w:pPr>
              <w:pStyle w:val="NormalWeb"/>
              <w:jc w:val="center"/>
              <w:rPr>
                <w:rFonts w:asciiTheme="minorHAnsi" w:hAnsiTheme="minorHAnsi"/>
                <w:b/>
              </w:rPr>
            </w:pPr>
            <w:r w:rsidRPr="00C03D9C">
              <w:rPr>
                <w:rStyle w:val="Forte"/>
                <w:rFonts w:asciiTheme="minorHAnsi" w:hAnsiTheme="minorHAnsi"/>
              </w:rPr>
              <w:t>Coordenador de Transportes</w:t>
            </w:r>
          </w:p>
          <w:p w:rsidR="00897B67" w:rsidRPr="00C03D9C" w:rsidRDefault="00897B67" w:rsidP="00782F3B">
            <w:pPr>
              <w:pStyle w:val="NormalWeb"/>
              <w:jc w:val="center"/>
              <w:rPr>
                <w:rStyle w:val="Forte"/>
                <w:rFonts w:asciiTheme="minorHAnsi" w:hAnsiTheme="minorHAnsi"/>
              </w:rPr>
            </w:pPr>
            <w:r w:rsidRPr="00C03D9C">
              <w:rPr>
                <w:rStyle w:val="Forte"/>
                <w:rFonts w:asciiTheme="minorHAnsi" w:hAnsiTheme="minorHAnsi"/>
              </w:rPr>
              <w:t>Mônica Lúcia Bezerra</w:t>
            </w:r>
          </w:p>
          <w:p w:rsidR="00897B67" w:rsidRDefault="00897B67" w:rsidP="00782F3B">
            <w:pPr>
              <w:pStyle w:val="NormalWeb"/>
              <w:jc w:val="center"/>
              <w:rPr>
                <w:rStyle w:val="Forte"/>
                <w:rFonts w:asciiTheme="minorHAnsi" w:hAnsiTheme="minorHAnsi"/>
              </w:rPr>
            </w:pPr>
            <w:r w:rsidRPr="00C03D9C">
              <w:rPr>
                <w:rStyle w:val="Forte"/>
                <w:rFonts w:asciiTheme="minorHAnsi" w:hAnsiTheme="minorHAnsi"/>
              </w:rPr>
              <w:t xml:space="preserve">Coordenadora de Cadastro, Controle e </w:t>
            </w:r>
            <w:proofErr w:type="gramStart"/>
            <w:r w:rsidRPr="00C03D9C">
              <w:rPr>
                <w:rStyle w:val="Forte"/>
                <w:rFonts w:asciiTheme="minorHAnsi" w:hAnsiTheme="minorHAnsi"/>
              </w:rPr>
              <w:t>Normatização</w:t>
            </w:r>
            <w:proofErr w:type="gramEnd"/>
          </w:p>
          <w:p w:rsidR="00897B67" w:rsidRDefault="00897B67" w:rsidP="00782F3B">
            <w:pPr>
              <w:pStyle w:val="NormalWeb"/>
              <w:jc w:val="center"/>
              <w:rPr>
                <w:rStyle w:val="Forte"/>
                <w:rFonts w:asciiTheme="minorHAnsi" w:hAnsiTheme="minorHAnsi"/>
              </w:rPr>
            </w:pPr>
            <w:r w:rsidRPr="00C03D9C">
              <w:rPr>
                <w:rStyle w:val="Forte"/>
                <w:rFonts w:asciiTheme="minorHAnsi" w:hAnsiTheme="minorHAnsi"/>
              </w:rPr>
              <w:t>Robson Gabriel de Araújo</w:t>
            </w:r>
          </w:p>
          <w:p w:rsidR="00897B67" w:rsidRDefault="00897B67" w:rsidP="00782F3B">
            <w:pPr>
              <w:pStyle w:val="NormalWeb"/>
              <w:jc w:val="center"/>
              <w:rPr>
                <w:rStyle w:val="Forte"/>
                <w:rFonts w:asciiTheme="minorHAnsi" w:hAnsiTheme="minorHAnsi"/>
              </w:rPr>
            </w:pPr>
            <w:r w:rsidRPr="00C03D9C">
              <w:rPr>
                <w:rStyle w:val="Forte"/>
                <w:rFonts w:asciiTheme="minorHAnsi" w:hAnsiTheme="minorHAnsi"/>
              </w:rPr>
              <w:t>Coordenador de Saneamento</w:t>
            </w:r>
          </w:p>
        </w:tc>
        <w:tc>
          <w:tcPr>
            <w:tcW w:w="4717" w:type="dxa"/>
          </w:tcPr>
          <w:p w:rsidR="00897B67" w:rsidRPr="00C03D9C" w:rsidRDefault="00897B67" w:rsidP="00782F3B">
            <w:pPr>
              <w:pStyle w:val="NormalWeb"/>
              <w:jc w:val="center"/>
              <w:rPr>
                <w:rStyle w:val="Forte"/>
                <w:rFonts w:asciiTheme="minorHAnsi" w:hAnsiTheme="minorHAnsi"/>
              </w:rPr>
            </w:pPr>
            <w:r w:rsidRPr="00C03D9C">
              <w:rPr>
                <w:rStyle w:val="Forte"/>
                <w:rFonts w:asciiTheme="minorHAnsi" w:hAnsiTheme="minorHAnsi"/>
              </w:rPr>
              <w:t>Claudio Pereira Sampaio</w:t>
            </w:r>
          </w:p>
          <w:p w:rsidR="00897B67" w:rsidRPr="00C03D9C" w:rsidRDefault="00897B67" w:rsidP="00782F3B">
            <w:pPr>
              <w:pStyle w:val="NormalWeb"/>
              <w:jc w:val="center"/>
              <w:rPr>
                <w:rStyle w:val="Forte"/>
                <w:rFonts w:asciiTheme="minorHAnsi" w:hAnsiTheme="minorHAnsi"/>
                <w:b w:val="0"/>
              </w:rPr>
            </w:pPr>
            <w:r w:rsidRPr="00C03D9C">
              <w:rPr>
                <w:rStyle w:val="Forte"/>
                <w:rFonts w:asciiTheme="minorHAnsi" w:hAnsiTheme="minorHAnsi"/>
              </w:rPr>
              <w:t>Diretor de Regulação Econômica</w:t>
            </w:r>
          </w:p>
          <w:p w:rsidR="00897B67" w:rsidRPr="00C03D9C" w:rsidRDefault="00897B67" w:rsidP="00782F3B">
            <w:pPr>
              <w:pStyle w:val="NormalWeb"/>
              <w:jc w:val="center"/>
              <w:rPr>
                <w:rFonts w:asciiTheme="minorHAnsi" w:hAnsiTheme="minorHAnsi"/>
              </w:rPr>
            </w:pPr>
          </w:p>
          <w:p w:rsidR="00897B67" w:rsidRPr="00C03D9C" w:rsidRDefault="00897B67" w:rsidP="00782F3B">
            <w:pPr>
              <w:pStyle w:val="NormalWeb"/>
              <w:jc w:val="center"/>
              <w:rPr>
                <w:rStyle w:val="Forte"/>
                <w:rFonts w:asciiTheme="minorHAnsi" w:hAnsiTheme="minorHAnsi"/>
              </w:rPr>
            </w:pPr>
            <w:r w:rsidRPr="00C03D9C">
              <w:rPr>
                <w:rStyle w:val="Forte"/>
                <w:rFonts w:asciiTheme="minorHAnsi" w:hAnsiTheme="minorHAnsi"/>
              </w:rPr>
              <w:t>Talita Cabral da Silva</w:t>
            </w:r>
          </w:p>
          <w:p w:rsidR="00897B67" w:rsidRPr="00C03D9C" w:rsidRDefault="00897B67" w:rsidP="00782F3B">
            <w:pPr>
              <w:pStyle w:val="NormalWeb"/>
              <w:jc w:val="center"/>
              <w:rPr>
                <w:rFonts w:asciiTheme="minorHAnsi" w:hAnsiTheme="minorHAnsi"/>
                <w:b/>
              </w:rPr>
            </w:pPr>
            <w:r w:rsidRPr="00C03D9C">
              <w:rPr>
                <w:rStyle w:val="Forte"/>
                <w:rFonts w:asciiTheme="minorHAnsi" w:hAnsiTheme="minorHAnsi"/>
              </w:rPr>
              <w:t>Coordenadora de Arrecadação</w:t>
            </w:r>
          </w:p>
          <w:p w:rsidR="00897B67" w:rsidRPr="00C03D9C" w:rsidRDefault="00897B67" w:rsidP="00782F3B">
            <w:pPr>
              <w:pStyle w:val="NormalWeb"/>
              <w:jc w:val="center"/>
              <w:rPr>
                <w:rFonts w:asciiTheme="minorHAnsi" w:hAnsiTheme="minorHAnsi"/>
              </w:rPr>
            </w:pPr>
          </w:p>
          <w:p w:rsidR="00897B67" w:rsidRPr="00C03D9C" w:rsidRDefault="00897B67" w:rsidP="00782F3B">
            <w:pPr>
              <w:pStyle w:val="NormalWeb"/>
              <w:jc w:val="center"/>
              <w:rPr>
                <w:rStyle w:val="Forte"/>
                <w:rFonts w:asciiTheme="minorHAnsi" w:hAnsiTheme="minorHAnsi"/>
              </w:rPr>
            </w:pPr>
            <w:r w:rsidRPr="00C03D9C">
              <w:rPr>
                <w:rStyle w:val="Forte"/>
                <w:rFonts w:asciiTheme="minorHAnsi" w:hAnsiTheme="minorHAnsi"/>
              </w:rPr>
              <w:t>Cláudio Assis de Albuquerque</w:t>
            </w:r>
          </w:p>
          <w:p w:rsidR="00897B67" w:rsidRPr="00C03D9C" w:rsidRDefault="00897B67" w:rsidP="00782F3B">
            <w:pPr>
              <w:pStyle w:val="NormalWeb"/>
              <w:jc w:val="center"/>
              <w:rPr>
                <w:rFonts w:asciiTheme="minorHAnsi" w:hAnsiTheme="minorHAnsi"/>
                <w:b/>
              </w:rPr>
            </w:pPr>
            <w:r w:rsidRPr="00C03D9C">
              <w:rPr>
                <w:rStyle w:val="Forte"/>
                <w:rFonts w:asciiTheme="minorHAnsi" w:hAnsiTheme="minorHAnsi"/>
              </w:rPr>
              <w:t>Coordenador de Terminais Rodoviários</w:t>
            </w:r>
          </w:p>
          <w:p w:rsidR="00897B67" w:rsidRDefault="00897B67" w:rsidP="00782F3B">
            <w:pPr>
              <w:pStyle w:val="NormalWeb"/>
              <w:jc w:val="center"/>
              <w:rPr>
                <w:rStyle w:val="Forte"/>
                <w:rFonts w:asciiTheme="minorHAnsi" w:hAnsiTheme="minorHAnsi"/>
                <w:b w:val="0"/>
              </w:rPr>
            </w:pPr>
          </w:p>
          <w:p w:rsidR="00897B67" w:rsidRDefault="00897B67" w:rsidP="00782F3B">
            <w:pPr>
              <w:pStyle w:val="NormalWeb"/>
              <w:jc w:val="center"/>
              <w:rPr>
                <w:rStyle w:val="Forte"/>
                <w:rFonts w:asciiTheme="minorHAnsi" w:hAnsiTheme="minorHAnsi"/>
              </w:rPr>
            </w:pPr>
            <w:r w:rsidRPr="00C03D9C">
              <w:rPr>
                <w:rStyle w:val="Forte"/>
                <w:rFonts w:asciiTheme="minorHAnsi" w:hAnsiTheme="minorHAnsi"/>
              </w:rPr>
              <w:t>Claudio Pereira Sampaio</w:t>
            </w:r>
          </w:p>
          <w:p w:rsidR="00897B67" w:rsidRDefault="00897B67" w:rsidP="00782F3B">
            <w:pPr>
              <w:pStyle w:val="NormalWeb"/>
              <w:jc w:val="center"/>
              <w:rPr>
                <w:rFonts w:asciiTheme="minorHAnsi" w:hAnsiTheme="minorHAnsi"/>
              </w:rPr>
            </w:pPr>
            <w:r w:rsidRPr="00C03D9C">
              <w:rPr>
                <w:rStyle w:val="Forte"/>
                <w:rFonts w:asciiTheme="minorHAnsi" w:hAnsiTheme="minorHAnsi"/>
              </w:rPr>
              <w:t xml:space="preserve">Coordenador de </w:t>
            </w:r>
            <w:r>
              <w:rPr>
                <w:rStyle w:val="Forte"/>
                <w:rFonts w:asciiTheme="minorHAnsi" w:hAnsiTheme="minorHAnsi"/>
              </w:rPr>
              <w:t>Contabilidade Regulatória</w:t>
            </w:r>
          </w:p>
          <w:p w:rsidR="00897B67" w:rsidRDefault="00897B67" w:rsidP="00782F3B">
            <w:pPr>
              <w:pStyle w:val="NormalWeb"/>
              <w:jc w:val="center"/>
              <w:rPr>
                <w:rStyle w:val="Forte"/>
                <w:rFonts w:asciiTheme="minorHAnsi" w:hAnsiTheme="minorHAnsi"/>
              </w:rPr>
            </w:pPr>
          </w:p>
          <w:p w:rsidR="00897B67" w:rsidRPr="00C03D9C" w:rsidRDefault="00897B67" w:rsidP="00782F3B">
            <w:pPr>
              <w:pStyle w:val="NormalWeb"/>
              <w:jc w:val="center"/>
              <w:rPr>
                <w:rStyle w:val="Forte"/>
                <w:rFonts w:asciiTheme="minorHAnsi" w:hAnsiTheme="minorHAnsi"/>
              </w:rPr>
            </w:pPr>
            <w:r w:rsidRPr="00C03D9C">
              <w:rPr>
                <w:rStyle w:val="Forte"/>
                <w:rFonts w:asciiTheme="minorHAnsi" w:hAnsiTheme="minorHAnsi"/>
              </w:rPr>
              <w:t xml:space="preserve">Renato </w:t>
            </w:r>
            <w:proofErr w:type="spellStart"/>
            <w:r w:rsidRPr="00C03D9C">
              <w:rPr>
                <w:rStyle w:val="Forte"/>
                <w:rFonts w:asciiTheme="minorHAnsi" w:hAnsiTheme="minorHAnsi"/>
              </w:rPr>
              <w:t>Rézio</w:t>
            </w:r>
            <w:proofErr w:type="spellEnd"/>
            <w:r>
              <w:rPr>
                <w:rStyle w:val="Forte"/>
                <w:rFonts w:asciiTheme="minorHAnsi" w:hAnsiTheme="minorHAnsi"/>
              </w:rPr>
              <w:t xml:space="preserve"> de Souza</w:t>
            </w:r>
          </w:p>
          <w:p w:rsidR="00897B67" w:rsidRPr="00C03D9C" w:rsidRDefault="00897B67" w:rsidP="00782F3B">
            <w:pPr>
              <w:pStyle w:val="NormalWeb"/>
              <w:jc w:val="center"/>
              <w:rPr>
                <w:rStyle w:val="Forte"/>
                <w:rFonts w:asciiTheme="minorHAnsi" w:hAnsiTheme="minorHAnsi"/>
                <w:b w:val="0"/>
              </w:rPr>
            </w:pPr>
            <w:r w:rsidRPr="00C03D9C">
              <w:rPr>
                <w:rStyle w:val="Forte"/>
                <w:rFonts w:asciiTheme="minorHAnsi" w:hAnsiTheme="minorHAnsi"/>
              </w:rPr>
              <w:t xml:space="preserve">Diretor de Administração e Finanças </w:t>
            </w:r>
          </w:p>
          <w:p w:rsidR="00897B67" w:rsidRDefault="00897B67" w:rsidP="00782F3B">
            <w:pPr>
              <w:pStyle w:val="NormalWeb"/>
              <w:jc w:val="center"/>
              <w:rPr>
                <w:rStyle w:val="Forte"/>
                <w:rFonts w:asciiTheme="minorHAnsi" w:hAnsiTheme="minorHAnsi"/>
              </w:rPr>
            </w:pPr>
          </w:p>
          <w:p w:rsidR="00897B67" w:rsidRPr="00C03D9C" w:rsidRDefault="00897B67" w:rsidP="00782F3B">
            <w:pPr>
              <w:pStyle w:val="NormalWeb"/>
              <w:jc w:val="center"/>
              <w:rPr>
                <w:rStyle w:val="Forte"/>
                <w:rFonts w:asciiTheme="minorHAnsi" w:hAnsiTheme="minorHAnsi"/>
              </w:rPr>
            </w:pPr>
            <w:r w:rsidRPr="00C03D9C">
              <w:rPr>
                <w:rStyle w:val="Forte"/>
                <w:rFonts w:asciiTheme="minorHAnsi" w:hAnsiTheme="minorHAnsi"/>
              </w:rPr>
              <w:t>Pedro Lopes da Silva</w:t>
            </w:r>
          </w:p>
          <w:p w:rsidR="00897B67" w:rsidRPr="00C03D9C" w:rsidRDefault="00897B67" w:rsidP="00782F3B">
            <w:pPr>
              <w:pStyle w:val="NormalWeb"/>
              <w:jc w:val="center"/>
              <w:rPr>
                <w:rFonts w:asciiTheme="minorHAnsi" w:hAnsiTheme="minorHAnsi"/>
                <w:b/>
              </w:rPr>
            </w:pPr>
            <w:r w:rsidRPr="00C03D9C">
              <w:rPr>
                <w:rStyle w:val="Forte"/>
                <w:rFonts w:asciiTheme="minorHAnsi" w:hAnsiTheme="minorHAnsi"/>
              </w:rPr>
              <w:t>Coordenador de Finanças</w:t>
            </w:r>
          </w:p>
          <w:p w:rsidR="00897B67" w:rsidRDefault="00897B67" w:rsidP="00782F3B">
            <w:pPr>
              <w:pStyle w:val="NormalWeb"/>
              <w:jc w:val="center"/>
              <w:rPr>
                <w:rStyle w:val="Forte"/>
                <w:rFonts w:asciiTheme="minorHAnsi" w:hAnsiTheme="minorHAnsi"/>
              </w:rPr>
            </w:pPr>
          </w:p>
          <w:p w:rsidR="00897B67" w:rsidRPr="00C03D9C" w:rsidRDefault="00897B67" w:rsidP="00782F3B">
            <w:pPr>
              <w:pStyle w:val="NormalWeb"/>
              <w:jc w:val="center"/>
              <w:rPr>
                <w:rStyle w:val="Forte"/>
                <w:rFonts w:asciiTheme="minorHAnsi" w:hAnsiTheme="minorHAnsi"/>
              </w:rPr>
            </w:pPr>
            <w:r w:rsidRPr="00C03D9C">
              <w:rPr>
                <w:rStyle w:val="Forte"/>
                <w:rFonts w:asciiTheme="minorHAnsi" w:hAnsiTheme="minorHAnsi"/>
              </w:rPr>
              <w:t>Luiz Júnior</w:t>
            </w:r>
          </w:p>
          <w:p w:rsidR="00897B67" w:rsidRDefault="00897B67" w:rsidP="00782F3B">
            <w:pPr>
              <w:pStyle w:val="NormalWeb"/>
              <w:jc w:val="center"/>
              <w:rPr>
                <w:rStyle w:val="Forte"/>
                <w:rFonts w:asciiTheme="minorHAnsi" w:hAnsiTheme="minorHAnsi"/>
              </w:rPr>
            </w:pPr>
            <w:r w:rsidRPr="00C03D9C">
              <w:rPr>
                <w:rStyle w:val="Forte"/>
                <w:rFonts w:asciiTheme="minorHAnsi" w:hAnsiTheme="minorHAnsi"/>
              </w:rPr>
              <w:t>Coordenador de Informática</w:t>
            </w:r>
          </w:p>
        </w:tc>
      </w:tr>
    </w:tbl>
    <w:sdt>
      <w:sdtPr>
        <w:rPr>
          <w:rFonts w:ascii="Calibri" w:eastAsia="Calibri" w:hAnsi="Calibri" w:cs="Times New Roman"/>
          <w:b/>
          <w:bCs/>
          <w:color w:val="auto"/>
          <w:sz w:val="22"/>
          <w:szCs w:val="22"/>
          <w:lang w:eastAsia="en-US"/>
        </w:rPr>
        <w:id w:val="-556319165"/>
        <w:docPartObj>
          <w:docPartGallery w:val="Table of Contents"/>
          <w:docPartUnique/>
        </w:docPartObj>
      </w:sdtPr>
      <w:sdtContent>
        <w:sdt>
          <w:sdtPr>
            <w:rPr>
              <w:rFonts w:ascii="Calibri" w:eastAsia="Calibri" w:hAnsi="Calibri" w:cs="Times New Roman"/>
              <w:b/>
              <w:bCs/>
              <w:color w:val="auto"/>
              <w:sz w:val="22"/>
              <w:szCs w:val="22"/>
              <w:lang w:eastAsia="en-US"/>
            </w:rPr>
            <w:id w:val="2629790"/>
            <w:docPartObj>
              <w:docPartGallery w:val="Table of Contents"/>
              <w:docPartUnique/>
            </w:docPartObj>
          </w:sdtPr>
          <w:sdtContent>
            <w:p w:rsidR="00E3184F" w:rsidRDefault="00E3184F" w:rsidP="00E3184F">
              <w:pPr>
                <w:pStyle w:val="CabealhodoSumrio"/>
              </w:pPr>
              <w:r>
                <w:t>Sumário</w:t>
              </w:r>
            </w:p>
            <w:p w:rsidR="00E3184F" w:rsidRDefault="00E46B37" w:rsidP="00E3184F">
              <w:pPr>
                <w:pStyle w:val="Sumrio1"/>
                <w:tabs>
                  <w:tab w:val="left" w:pos="440"/>
                  <w:tab w:val="right" w:leader="dot" w:pos="9061"/>
                </w:tabs>
                <w:rPr>
                  <w:rFonts w:asciiTheme="minorHAnsi" w:eastAsiaTheme="minorEastAsia" w:hAnsiTheme="minorHAnsi" w:cstheme="minorBidi"/>
                  <w:noProof/>
                  <w:lang w:eastAsia="pt-BR"/>
                </w:rPr>
              </w:pPr>
              <w:r w:rsidRPr="00E46B37">
                <w:fldChar w:fldCharType="begin"/>
              </w:r>
              <w:r w:rsidR="00E3184F">
                <w:instrText xml:space="preserve"> TOC \o "1-3" \h \z \u </w:instrText>
              </w:r>
              <w:r w:rsidRPr="00E46B37">
                <w:fldChar w:fldCharType="separate"/>
              </w:r>
              <w:hyperlink w:anchor="_Toc378193732" w:history="1">
                <w:r w:rsidR="00E3184F" w:rsidRPr="00352AF8">
                  <w:rPr>
                    <w:rStyle w:val="Hyperlink"/>
                    <w:noProof/>
                  </w:rPr>
                  <w:t>1.</w:t>
                </w:r>
                <w:r w:rsidR="00E3184F">
                  <w:rPr>
                    <w:rFonts w:asciiTheme="minorHAnsi" w:eastAsiaTheme="minorEastAsia" w:hAnsiTheme="minorHAnsi" w:cstheme="minorBidi"/>
                    <w:noProof/>
                    <w:lang w:eastAsia="pt-BR"/>
                  </w:rPr>
                  <w:tab/>
                </w:r>
                <w:r w:rsidR="00E3184F" w:rsidRPr="00352AF8">
                  <w:rPr>
                    <w:rStyle w:val="Hyperlink"/>
                    <w:noProof/>
                  </w:rPr>
                  <w:t>Introdução</w:t>
                </w:r>
                <w:r w:rsidR="00E3184F">
                  <w:rPr>
                    <w:noProof/>
                    <w:webHidden/>
                  </w:rPr>
                  <w:tab/>
                </w:r>
                <w:r>
                  <w:rPr>
                    <w:noProof/>
                    <w:webHidden/>
                  </w:rPr>
                  <w:fldChar w:fldCharType="begin"/>
                </w:r>
                <w:r w:rsidR="00E3184F">
                  <w:rPr>
                    <w:noProof/>
                    <w:webHidden/>
                  </w:rPr>
                  <w:instrText xml:space="preserve"> PAGEREF _Toc378193732 \h </w:instrText>
                </w:r>
                <w:r>
                  <w:rPr>
                    <w:noProof/>
                    <w:webHidden/>
                  </w:rPr>
                </w:r>
                <w:r>
                  <w:rPr>
                    <w:noProof/>
                    <w:webHidden/>
                  </w:rPr>
                  <w:fldChar w:fldCharType="separate"/>
                </w:r>
                <w:r w:rsidR="001A2A27">
                  <w:rPr>
                    <w:noProof/>
                    <w:webHidden/>
                  </w:rPr>
                  <w:t>4</w:t>
                </w:r>
                <w:r>
                  <w:rPr>
                    <w:noProof/>
                    <w:webHidden/>
                  </w:rPr>
                  <w:fldChar w:fldCharType="end"/>
                </w:r>
              </w:hyperlink>
            </w:p>
            <w:p w:rsidR="00E3184F" w:rsidRDefault="00E46B37" w:rsidP="00E3184F">
              <w:pPr>
                <w:pStyle w:val="Sumrio1"/>
                <w:tabs>
                  <w:tab w:val="left" w:pos="440"/>
                  <w:tab w:val="right" w:leader="dot" w:pos="9061"/>
                </w:tabs>
                <w:rPr>
                  <w:rFonts w:asciiTheme="minorHAnsi" w:eastAsiaTheme="minorEastAsia" w:hAnsiTheme="minorHAnsi" w:cstheme="minorBidi"/>
                  <w:noProof/>
                  <w:lang w:eastAsia="pt-BR"/>
                </w:rPr>
              </w:pPr>
              <w:hyperlink w:anchor="_Toc378193733" w:history="1">
                <w:r w:rsidR="00E3184F" w:rsidRPr="00352AF8">
                  <w:rPr>
                    <w:rStyle w:val="Hyperlink"/>
                    <w:noProof/>
                  </w:rPr>
                  <w:t>2.</w:t>
                </w:r>
                <w:r w:rsidR="00E3184F">
                  <w:rPr>
                    <w:rFonts w:asciiTheme="minorHAnsi" w:eastAsiaTheme="minorEastAsia" w:hAnsiTheme="minorHAnsi" w:cstheme="minorBidi"/>
                    <w:noProof/>
                    <w:lang w:eastAsia="pt-BR"/>
                  </w:rPr>
                  <w:tab/>
                </w:r>
                <w:r w:rsidR="00E3184F" w:rsidRPr="00352AF8">
                  <w:rPr>
                    <w:rStyle w:val="Hyperlink"/>
                    <w:noProof/>
                  </w:rPr>
                  <w:t>Definição do modelo regulatório</w:t>
                </w:r>
                <w:r w:rsidR="00E3184F">
                  <w:rPr>
                    <w:noProof/>
                    <w:webHidden/>
                  </w:rPr>
                  <w:tab/>
                  <w:t>5</w:t>
                </w:r>
              </w:hyperlink>
            </w:p>
            <w:p w:rsidR="00E3184F" w:rsidRDefault="00E46B37" w:rsidP="00E3184F">
              <w:pPr>
                <w:pStyle w:val="Sumrio2"/>
                <w:tabs>
                  <w:tab w:val="left" w:pos="660"/>
                  <w:tab w:val="right" w:leader="dot" w:pos="9061"/>
                </w:tabs>
                <w:rPr>
                  <w:rFonts w:asciiTheme="minorHAnsi" w:eastAsiaTheme="minorEastAsia" w:hAnsiTheme="minorHAnsi" w:cstheme="minorBidi"/>
                  <w:noProof/>
                  <w:lang w:eastAsia="pt-BR"/>
                </w:rPr>
              </w:pPr>
              <w:hyperlink w:anchor="_Toc378193734" w:history="1">
                <w:r w:rsidR="00E3184F" w:rsidRPr="00352AF8">
                  <w:rPr>
                    <w:rStyle w:val="Hyperlink"/>
                    <w:noProof/>
                  </w:rPr>
                  <w:t>a.</w:t>
                </w:r>
                <w:r w:rsidR="00E3184F">
                  <w:rPr>
                    <w:rFonts w:asciiTheme="minorHAnsi" w:eastAsiaTheme="minorEastAsia" w:hAnsiTheme="minorHAnsi" w:cstheme="minorBidi"/>
                    <w:noProof/>
                    <w:lang w:eastAsia="pt-BR"/>
                  </w:rPr>
                  <w:tab/>
                </w:r>
                <w:r w:rsidR="00E3184F" w:rsidRPr="00352AF8">
                  <w:rPr>
                    <w:rStyle w:val="Hyperlink"/>
                    <w:noProof/>
                  </w:rPr>
                  <w:t>Fatos do Primeiro Ciclo Tarifário da Saneatins</w:t>
                </w:r>
                <w:r w:rsidR="00E3184F">
                  <w:rPr>
                    <w:noProof/>
                    <w:webHidden/>
                  </w:rPr>
                  <w:tab/>
                  <w:t>7</w:t>
                </w:r>
              </w:hyperlink>
            </w:p>
            <w:p w:rsidR="00E3184F" w:rsidRDefault="00E46B37" w:rsidP="00E3184F">
              <w:pPr>
                <w:pStyle w:val="Sumrio2"/>
                <w:tabs>
                  <w:tab w:val="left" w:pos="660"/>
                  <w:tab w:val="right" w:leader="dot" w:pos="9061"/>
                </w:tabs>
                <w:rPr>
                  <w:rFonts w:asciiTheme="minorHAnsi" w:eastAsiaTheme="minorEastAsia" w:hAnsiTheme="minorHAnsi" w:cstheme="minorBidi"/>
                  <w:noProof/>
                  <w:lang w:eastAsia="pt-BR"/>
                </w:rPr>
              </w:pPr>
              <w:hyperlink w:anchor="_Toc378193735" w:history="1">
                <w:r w:rsidR="00E3184F" w:rsidRPr="00352AF8">
                  <w:rPr>
                    <w:rStyle w:val="Hyperlink"/>
                    <w:noProof/>
                  </w:rPr>
                  <w:t>b.</w:t>
                </w:r>
                <w:r w:rsidR="00E3184F">
                  <w:rPr>
                    <w:rFonts w:asciiTheme="minorHAnsi" w:eastAsiaTheme="minorEastAsia" w:hAnsiTheme="minorHAnsi" w:cstheme="minorBidi"/>
                    <w:noProof/>
                    <w:lang w:eastAsia="pt-BR"/>
                  </w:rPr>
                  <w:tab/>
                </w:r>
                <w:r w:rsidR="00E3184F" w:rsidRPr="00352AF8">
                  <w:rPr>
                    <w:rStyle w:val="Hyperlink"/>
                    <w:noProof/>
                  </w:rPr>
                  <w:t>O processo de reajuste tarifário anual</w:t>
                </w:r>
                <w:r w:rsidR="00E3184F">
                  <w:rPr>
                    <w:noProof/>
                    <w:webHidden/>
                  </w:rPr>
                  <w:tab/>
                </w:r>
                <w:r>
                  <w:rPr>
                    <w:noProof/>
                    <w:webHidden/>
                  </w:rPr>
                  <w:fldChar w:fldCharType="begin"/>
                </w:r>
                <w:r w:rsidR="00E3184F">
                  <w:rPr>
                    <w:noProof/>
                    <w:webHidden/>
                  </w:rPr>
                  <w:instrText xml:space="preserve"> PAGEREF _Toc378193735 \h </w:instrText>
                </w:r>
                <w:r>
                  <w:rPr>
                    <w:noProof/>
                    <w:webHidden/>
                  </w:rPr>
                </w:r>
                <w:r>
                  <w:rPr>
                    <w:noProof/>
                    <w:webHidden/>
                  </w:rPr>
                  <w:fldChar w:fldCharType="separate"/>
                </w:r>
                <w:r w:rsidR="001A2A27">
                  <w:rPr>
                    <w:noProof/>
                    <w:webHidden/>
                  </w:rPr>
                  <w:t>7</w:t>
                </w:r>
                <w:r>
                  <w:rPr>
                    <w:noProof/>
                    <w:webHidden/>
                  </w:rPr>
                  <w:fldChar w:fldCharType="end"/>
                </w:r>
              </w:hyperlink>
            </w:p>
            <w:p w:rsidR="00E3184F" w:rsidRDefault="00E46B37" w:rsidP="00E3184F">
              <w:pPr>
                <w:pStyle w:val="Sumrio2"/>
                <w:tabs>
                  <w:tab w:val="left" w:pos="660"/>
                  <w:tab w:val="right" w:leader="dot" w:pos="9061"/>
                </w:tabs>
                <w:rPr>
                  <w:rFonts w:asciiTheme="minorHAnsi" w:eastAsiaTheme="minorEastAsia" w:hAnsiTheme="minorHAnsi" w:cstheme="minorBidi"/>
                  <w:noProof/>
                  <w:lang w:eastAsia="pt-BR"/>
                </w:rPr>
              </w:pPr>
              <w:hyperlink w:anchor="_Toc378193736" w:history="1">
                <w:r w:rsidR="00E3184F" w:rsidRPr="00352AF8">
                  <w:rPr>
                    <w:rStyle w:val="Hyperlink"/>
                    <w:noProof/>
                  </w:rPr>
                  <w:t>c.</w:t>
                </w:r>
                <w:r w:rsidR="00E3184F">
                  <w:rPr>
                    <w:rFonts w:asciiTheme="minorHAnsi" w:eastAsiaTheme="minorEastAsia" w:hAnsiTheme="minorHAnsi" w:cstheme="minorBidi"/>
                    <w:noProof/>
                    <w:lang w:eastAsia="pt-BR"/>
                  </w:rPr>
                  <w:tab/>
                </w:r>
                <w:r w:rsidR="00E3184F" w:rsidRPr="00352AF8">
                  <w:rPr>
                    <w:rStyle w:val="Hyperlink"/>
                    <w:noProof/>
                  </w:rPr>
                  <w:t>A definição do Fator X do Primeiro Ciclo Tarifário</w:t>
                </w:r>
                <w:r w:rsidR="00E3184F">
                  <w:rPr>
                    <w:noProof/>
                    <w:webHidden/>
                  </w:rPr>
                  <w:tab/>
                </w:r>
                <w:r>
                  <w:rPr>
                    <w:noProof/>
                    <w:webHidden/>
                  </w:rPr>
                  <w:fldChar w:fldCharType="begin"/>
                </w:r>
                <w:r w:rsidR="00E3184F">
                  <w:rPr>
                    <w:noProof/>
                    <w:webHidden/>
                  </w:rPr>
                  <w:instrText xml:space="preserve"> PAGEREF _Toc378193736 \h </w:instrText>
                </w:r>
                <w:r>
                  <w:rPr>
                    <w:noProof/>
                    <w:webHidden/>
                  </w:rPr>
                </w:r>
                <w:r>
                  <w:rPr>
                    <w:noProof/>
                    <w:webHidden/>
                  </w:rPr>
                  <w:fldChar w:fldCharType="separate"/>
                </w:r>
                <w:r w:rsidR="001A2A27">
                  <w:rPr>
                    <w:noProof/>
                    <w:webHidden/>
                  </w:rPr>
                  <w:t>9</w:t>
                </w:r>
                <w:r>
                  <w:rPr>
                    <w:noProof/>
                    <w:webHidden/>
                  </w:rPr>
                  <w:fldChar w:fldCharType="end"/>
                </w:r>
              </w:hyperlink>
            </w:p>
            <w:p w:rsidR="00E3184F" w:rsidRDefault="00E46B37" w:rsidP="00E3184F">
              <w:pPr>
                <w:pStyle w:val="Sumrio1"/>
                <w:tabs>
                  <w:tab w:val="left" w:pos="440"/>
                  <w:tab w:val="right" w:leader="dot" w:pos="9061"/>
                </w:tabs>
                <w:rPr>
                  <w:rFonts w:asciiTheme="minorHAnsi" w:eastAsiaTheme="minorEastAsia" w:hAnsiTheme="minorHAnsi" w:cstheme="minorBidi"/>
                  <w:noProof/>
                  <w:lang w:eastAsia="pt-BR"/>
                </w:rPr>
              </w:pPr>
              <w:hyperlink w:anchor="_Toc378193737" w:history="1">
                <w:r w:rsidR="00E3184F" w:rsidRPr="00352AF8">
                  <w:rPr>
                    <w:rStyle w:val="Hyperlink"/>
                    <w:noProof/>
                  </w:rPr>
                  <w:t>3.</w:t>
                </w:r>
                <w:r w:rsidR="00E3184F">
                  <w:rPr>
                    <w:rFonts w:asciiTheme="minorHAnsi" w:eastAsiaTheme="minorEastAsia" w:hAnsiTheme="minorHAnsi" w:cstheme="minorBidi"/>
                    <w:noProof/>
                    <w:lang w:eastAsia="pt-BR"/>
                  </w:rPr>
                  <w:tab/>
                </w:r>
                <w:r w:rsidR="00E3184F" w:rsidRPr="00352AF8">
                  <w:rPr>
                    <w:rStyle w:val="Hyperlink"/>
                    <w:noProof/>
                  </w:rPr>
                  <w:t>Cálculo do custo de capital regulatório</w:t>
                </w:r>
                <w:r w:rsidR="00E3184F">
                  <w:rPr>
                    <w:noProof/>
                    <w:webHidden/>
                  </w:rPr>
                  <w:tab/>
                  <w:t>11</w:t>
                </w:r>
              </w:hyperlink>
            </w:p>
            <w:p w:rsidR="00E3184F" w:rsidRDefault="00E46B37" w:rsidP="00E3184F">
              <w:pPr>
                <w:pStyle w:val="Sumrio1"/>
                <w:tabs>
                  <w:tab w:val="left" w:pos="440"/>
                  <w:tab w:val="right" w:leader="dot" w:pos="9061"/>
                </w:tabs>
                <w:rPr>
                  <w:rFonts w:asciiTheme="minorHAnsi" w:eastAsiaTheme="minorEastAsia" w:hAnsiTheme="minorHAnsi" w:cstheme="minorBidi"/>
                  <w:noProof/>
                  <w:lang w:eastAsia="pt-BR"/>
                </w:rPr>
              </w:pPr>
              <w:hyperlink w:anchor="_Toc378193741" w:history="1">
                <w:r w:rsidR="00E3184F" w:rsidRPr="00352AF8">
                  <w:rPr>
                    <w:rStyle w:val="Hyperlink"/>
                    <w:noProof/>
                  </w:rPr>
                  <w:t>4.</w:t>
                </w:r>
                <w:r w:rsidR="00E3184F">
                  <w:rPr>
                    <w:rFonts w:asciiTheme="minorHAnsi" w:eastAsiaTheme="minorEastAsia" w:hAnsiTheme="minorHAnsi" w:cstheme="minorBidi"/>
                    <w:noProof/>
                    <w:lang w:eastAsia="pt-BR"/>
                  </w:rPr>
                  <w:tab/>
                </w:r>
                <w:r w:rsidR="00E3184F" w:rsidRPr="00352AF8">
                  <w:rPr>
                    <w:rStyle w:val="Hyperlink"/>
                    <w:noProof/>
                  </w:rPr>
                  <w:t>OPEX</w:t>
                </w:r>
                <w:r w:rsidR="00E3184F">
                  <w:rPr>
                    <w:noProof/>
                    <w:webHidden/>
                  </w:rPr>
                  <w:tab/>
                </w:r>
                <w:r>
                  <w:rPr>
                    <w:noProof/>
                    <w:webHidden/>
                  </w:rPr>
                  <w:fldChar w:fldCharType="begin"/>
                </w:r>
                <w:r w:rsidR="00E3184F">
                  <w:rPr>
                    <w:noProof/>
                    <w:webHidden/>
                  </w:rPr>
                  <w:instrText xml:space="preserve"> PAGEREF _Toc378193741 \h </w:instrText>
                </w:r>
                <w:r>
                  <w:rPr>
                    <w:noProof/>
                    <w:webHidden/>
                  </w:rPr>
                </w:r>
                <w:r>
                  <w:rPr>
                    <w:noProof/>
                    <w:webHidden/>
                  </w:rPr>
                  <w:fldChar w:fldCharType="separate"/>
                </w:r>
                <w:r w:rsidR="001A2A27">
                  <w:rPr>
                    <w:noProof/>
                    <w:webHidden/>
                  </w:rPr>
                  <w:t>14</w:t>
                </w:r>
                <w:r>
                  <w:rPr>
                    <w:noProof/>
                    <w:webHidden/>
                  </w:rPr>
                  <w:fldChar w:fldCharType="end"/>
                </w:r>
              </w:hyperlink>
            </w:p>
            <w:p w:rsidR="00E3184F" w:rsidRDefault="00E46B37" w:rsidP="00E3184F">
              <w:pPr>
                <w:pStyle w:val="Sumrio1"/>
                <w:tabs>
                  <w:tab w:val="left" w:pos="440"/>
                  <w:tab w:val="right" w:leader="dot" w:pos="9061"/>
                </w:tabs>
                <w:rPr>
                  <w:rFonts w:asciiTheme="minorHAnsi" w:eastAsiaTheme="minorEastAsia" w:hAnsiTheme="minorHAnsi" w:cstheme="minorBidi"/>
                  <w:noProof/>
                  <w:lang w:eastAsia="pt-BR"/>
                </w:rPr>
              </w:pPr>
              <w:hyperlink w:anchor="_Toc378193742" w:history="1">
                <w:r w:rsidR="00E3184F" w:rsidRPr="00352AF8">
                  <w:rPr>
                    <w:rStyle w:val="Hyperlink"/>
                    <w:noProof/>
                  </w:rPr>
                  <w:t>5.</w:t>
                </w:r>
                <w:r w:rsidR="00E3184F">
                  <w:rPr>
                    <w:rFonts w:asciiTheme="minorHAnsi" w:eastAsiaTheme="minorEastAsia" w:hAnsiTheme="minorHAnsi" w:cstheme="minorBidi"/>
                    <w:noProof/>
                    <w:lang w:eastAsia="pt-BR"/>
                  </w:rPr>
                  <w:tab/>
                </w:r>
                <w:r w:rsidR="00E3184F" w:rsidRPr="00352AF8">
                  <w:rPr>
                    <w:rStyle w:val="Hyperlink"/>
                    <w:noProof/>
                  </w:rPr>
                  <w:t>CAPEX</w:t>
                </w:r>
                <w:r w:rsidR="00E3184F">
                  <w:rPr>
                    <w:noProof/>
                    <w:webHidden/>
                  </w:rPr>
                  <w:tab/>
                </w:r>
                <w:r>
                  <w:rPr>
                    <w:noProof/>
                    <w:webHidden/>
                  </w:rPr>
                  <w:fldChar w:fldCharType="begin"/>
                </w:r>
                <w:r w:rsidR="00E3184F">
                  <w:rPr>
                    <w:noProof/>
                    <w:webHidden/>
                  </w:rPr>
                  <w:instrText xml:space="preserve"> PAGEREF _Toc378193742 \h </w:instrText>
                </w:r>
                <w:r>
                  <w:rPr>
                    <w:noProof/>
                    <w:webHidden/>
                  </w:rPr>
                </w:r>
                <w:r>
                  <w:rPr>
                    <w:noProof/>
                    <w:webHidden/>
                  </w:rPr>
                  <w:fldChar w:fldCharType="separate"/>
                </w:r>
                <w:r w:rsidR="001A2A27">
                  <w:rPr>
                    <w:noProof/>
                    <w:webHidden/>
                  </w:rPr>
                  <w:t>16</w:t>
                </w:r>
                <w:r>
                  <w:rPr>
                    <w:noProof/>
                    <w:webHidden/>
                  </w:rPr>
                  <w:fldChar w:fldCharType="end"/>
                </w:r>
              </w:hyperlink>
            </w:p>
            <w:p w:rsidR="00E3184F" w:rsidRDefault="00E46B37" w:rsidP="00E3184F">
              <w:pPr>
                <w:pStyle w:val="Sumrio1"/>
                <w:tabs>
                  <w:tab w:val="left" w:pos="440"/>
                  <w:tab w:val="right" w:leader="dot" w:pos="9061"/>
                </w:tabs>
                <w:rPr>
                  <w:rFonts w:asciiTheme="minorHAnsi" w:eastAsiaTheme="minorEastAsia" w:hAnsiTheme="minorHAnsi" w:cstheme="minorBidi"/>
                  <w:noProof/>
                  <w:lang w:eastAsia="pt-BR"/>
                </w:rPr>
              </w:pPr>
              <w:hyperlink w:anchor="_Toc378193743" w:history="1">
                <w:r w:rsidR="00E3184F" w:rsidRPr="00352AF8">
                  <w:rPr>
                    <w:rStyle w:val="Hyperlink"/>
                    <w:noProof/>
                  </w:rPr>
                  <w:t>6.</w:t>
                </w:r>
                <w:r w:rsidR="00E3184F">
                  <w:rPr>
                    <w:rFonts w:asciiTheme="minorHAnsi" w:eastAsiaTheme="minorEastAsia" w:hAnsiTheme="minorHAnsi" w:cstheme="minorBidi"/>
                    <w:noProof/>
                    <w:lang w:eastAsia="pt-BR"/>
                  </w:rPr>
                  <w:tab/>
                </w:r>
                <w:r w:rsidR="00E3184F" w:rsidRPr="00352AF8">
                  <w:rPr>
                    <w:rStyle w:val="Hyperlink"/>
                    <w:noProof/>
                  </w:rPr>
                  <w:t>O tratamento das receitas</w:t>
                </w:r>
                <w:r w:rsidR="00E3184F">
                  <w:rPr>
                    <w:noProof/>
                    <w:webHidden/>
                  </w:rPr>
                  <w:tab/>
                </w:r>
                <w:r>
                  <w:rPr>
                    <w:noProof/>
                    <w:webHidden/>
                  </w:rPr>
                  <w:fldChar w:fldCharType="begin"/>
                </w:r>
                <w:r w:rsidR="00E3184F">
                  <w:rPr>
                    <w:noProof/>
                    <w:webHidden/>
                  </w:rPr>
                  <w:instrText xml:space="preserve"> PAGEREF _Toc378193743 \h </w:instrText>
                </w:r>
                <w:r>
                  <w:rPr>
                    <w:noProof/>
                    <w:webHidden/>
                  </w:rPr>
                </w:r>
                <w:r>
                  <w:rPr>
                    <w:noProof/>
                    <w:webHidden/>
                  </w:rPr>
                  <w:fldChar w:fldCharType="separate"/>
                </w:r>
                <w:r w:rsidR="001A2A27">
                  <w:rPr>
                    <w:noProof/>
                    <w:webHidden/>
                  </w:rPr>
                  <w:t>21</w:t>
                </w:r>
                <w:r>
                  <w:rPr>
                    <w:noProof/>
                    <w:webHidden/>
                  </w:rPr>
                  <w:fldChar w:fldCharType="end"/>
                </w:r>
              </w:hyperlink>
              <w:r w:rsidR="00E3184F">
                <w:t>9</w:t>
              </w:r>
            </w:p>
            <w:p w:rsidR="00E3184F" w:rsidRDefault="00E46B37" w:rsidP="00E3184F">
              <w:pPr>
                <w:pStyle w:val="Sumrio1"/>
                <w:tabs>
                  <w:tab w:val="left" w:pos="440"/>
                  <w:tab w:val="right" w:leader="dot" w:pos="9061"/>
                </w:tabs>
                <w:rPr>
                  <w:rFonts w:asciiTheme="minorHAnsi" w:eastAsiaTheme="minorEastAsia" w:hAnsiTheme="minorHAnsi" w:cstheme="minorBidi"/>
                  <w:noProof/>
                  <w:lang w:eastAsia="pt-BR"/>
                </w:rPr>
              </w:pPr>
              <w:hyperlink w:anchor="_Toc378193744" w:history="1">
                <w:r w:rsidR="00E3184F" w:rsidRPr="00352AF8">
                  <w:rPr>
                    <w:rStyle w:val="Hyperlink"/>
                    <w:noProof/>
                  </w:rPr>
                  <w:t>7.</w:t>
                </w:r>
                <w:r w:rsidR="00E3184F">
                  <w:rPr>
                    <w:rFonts w:asciiTheme="minorHAnsi" w:eastAsiaTheme="minorEastAsia" w:hAnsiTheme="minorHAnsi" w:cstheme="minorBidi"/>
                    <w:noProof/>
                    <w:lang w:eastAsia="pt-BR"/>
                  </w:rPr>
                  <w:tab/>
                </w:r>
                <w:r w:rsidR="00E3184F" w:rsidRPr="00352AF8">
                  <w:rPr>
                    <w:rStyle w:val="Hyperlink"/>
                    <w:noProof/>
                  </w:rPr>
                  <w:t>Cálculo da tarifa</w:t>
                </w:r>
                <w:r w:rsidR="00E3184F">
                  <w:rPr>
                    <w:noProof/>
                    <w:webHidden/>
                  </w:rPr>
                  <w:tab/>
                  <w:t>21</w:t>
                </w:r>
              </w:hyperlink>
            </w:p>
            <w:p w:rsidR="00E3184F" w:rsidRDefault="00E46B37" w:rsidP="00E3184F">
              <w:pPr>
                <w:pStyle w:val="Sumrio1"/>
                <w:tabs>
                  <w:tab w:val="left" w:pos="440"/>
                  <w:tab w:val="right" w:leader="dot" w:pos="9061"/>
                </w:tabs>
                <w:rPr>
                  <w:rFonts w:asciiTheme="minorHAnsi" w:eastAsiaTheme="minorEastAsia" w:hAnsiTheme="minorHAnsi" w:cstheme="minorBidi"/>
                  <w:noProof/>
                  <w:lang w:eastAsia="pt-BR"/>
                </w:rPr>
              </w:pPr>
              <w:hyperlink w:anchor="_Toc378193745" w:history="1">
                <w:r w:rsidR="00E3184F" w:rsidRPr="00352AF8">
                  <w:rPr>
                    <w:rStyle w:val="Hyperlink"/>
                    <w:noProof/>
                  </w:rPr>
                  <w:t>8.</w:t>
                </w:r>
                <w:r w:rsidR="00E3184F">
                  <w:rPr>
                    <w:rFonts w:asciiTheme="minorHAnsi" w:eastAsiaTheme="minorEastAsia" w:hAnsiTheme="minorHAnsi" w:cstheme="minorBidi"/>
                    <w:noProof/>
                    <w:lang w:eastAsia="pt-BR"/>
                  </w:rPr>
                  <w:tab/>
                </w:r>
                <w:r w:rsidR="00E3184F" w:rsidRPr="00352AF8">
                  <w:rPr>
                    <w:rStyle w:val="Hyperlink"/>
                    <w:noProof/>
                  </w:rPr>
                  <w:t>Referências</w:t>
                </w:r>
                <w:r w:rsidR="00E3184F">
                  <w:rPr>
                    <w:noProof/>
                    <w:webHidden/>
                  </w:rPr>
                  <w:tab/>
                  <w:t>24</w:t>
                </w:r>
              </w:hyperlink>
            </w:p>
            <w:p w:rsidR="00E3184F" w:rsidRDefault="00E46B37" w:rsidP="00E3184F">
              <w:pPr>
                <w:rPr>
                  <w:b/>
                  <w:bCs/>
                </w:rPr>
              </w:pPr>
              <w:r>
                <w:rPr>
                  <w:b/>
                  <w:bCs/>
                </w:rPr>
                <w:fldChar w:fldCharType="end"/>
              </w:r>
            </w:p>
          </w:sdtContent>
        </w:sdt>
        <w:p w:rsidR="00E3184F" w:rsidRDefault="00E3184F" w:rsidP="00E3184F">
          <w:pPr>
            <w:pStyle w:val="CabealhodoSumrio"/>
          </w:pPr>
        </w:p>
        <w:p w:rsidR="008B7EFC" w:rsidRDefault="00E46B37"/>
      </w:sdtContent>
    </w:sdt>
    <w:p w:rsidR="00D97DEB" w:rsidRDefault="00D97DEB">
      <w:pPr>
        <w:rPr>
          <w:rFonts w:asciiTheme="majorHAnsi" w:eastAsiaTheme="majorEastAsia" w:hAnsiTheme="majorHAnsi" w:cstheme="majorBidi"/>
          <w:b/>
          <w:bCs/>
          <w:color w:val="365F91" w:themeColor="accent1" w:themeShade="BF"/>
          <w:sz w:val="28"/>
          <w:szCs w:val="28"/>
          <w:highlight w:val="lightGray"/>
        </w:rPr>
      </w:pPr>
      <w:r>
        <w:rPr>
          <w:highlight w:val="lightGray"/>
        </w:rPr>
        <w:br w:type="page"/>
      </w:r>
    </w:p>
    <w:p w:rsidR="003B5F38" w:rsidRDefault="003B5F38" w:rsidP="003B5F38">
      <w:pPr>
        <w:pStyle w:val="Ttulo1"/>
        <w:numPr>
          <w:ilvl w:val="0"/>
          <w:numId w:val="15"/>
        </w:numPr>
        <w:spacing w:before="0" w:after="200" w:line="360" w:lineRule="auto"/>
        <w:ind w:left="357" w:hanging="357"/>
        <w:jc w:val="both"/>
      </w:pPr>
      <w:bookmarkStart w:id="1" w:name="_Toc377254998"/>
      <w:bookmarkStart w:id="2" w:name="_Toc378193732"/>
      <w:bookmarkEnd w:id="0"/>
      <w:r>
        <w:lastRenderedPageBreak/>
        <w:t>Introdução</w:t>
      </w:r>
      <w:bookmarkEnd w:id="1"/>
      <w:bookmarkEnd w:id="2"/>
    </w:p>
    <w:p w:rsidR="003B5F38" w:rsidRDefault="003B5F38" w:rsidP="003B5F38">
      <w:pPr>
        <w:spacing w:line="360" w:lineRule="auto"/>
        <w:jc w:val="both"/>
      </w:pPr>
      <w:r>
        <w:t xml:space="preserve">Esta Nota Técnica se insere no processo de revisão tarifária da concessionária </w:t>
      </w:r>
      <w:proofErr w:type="spellStart"/>
      <w:r w:rsidR="00557976">
        <w:t>Foz|</w:t>
      </w:r>
      <w:r>
        <w:t>Saneatins</w:t>
      </w:r>
      <w:proofErr w:type="spellEnd"/>
      <w:r>
        <w:t>, a partir da Resolução ATR no. 076, de 7 de maio de 2.013, que teve o objetivo de d</w:t>
      </w:r>
      <w:r w:rsidRPr="00D17164">
        <w:t>etermina</w:t>
      </w:r>
      <w:r>
        <w:t>r</w:t>
      </w:r>
      <w:r w:rsidRPr="00D17164">
        <w:t xml:space="preserve"> prazos e procedimentos para a</w:t>
      </w:r>
      <w:r>
        <w:t xml:space="preserve"> </w:t>
      </w:r>
      <w:r w:rsidRPr="00D17164">
        <w:t>definição da metodologia de revisão e reajuste</w:t>
      </w:r>
      <w:r>
        <w:t xml:space="preserve"> </w:t>
      </w:r>
      <w:r w:rsidRPr="00D17164">
        <w:t>tarifário referentes à prestação de serviços de</w:t>
      </w:r>
      <w:r>
        <w:t xml:space="preserve"> </w:t>
      </w:r>
      <w:r w:rsidRPr="00D17164">
        <w:t>abastecimento de água e esgotamento sanitário</w:t>
      </w:r>
      <w:r>
        <w:t xml:space="preserve"> </w:t>
      </w:r>
      <w:r w:rsidRPr="00D17164">
        <w:t>no âmbito do Estado do Tocantins.</w:t>
      </w:r>
      <w:r>
        <w:t xml:space="preserve"> Foi estabelecido um prazo de 180 dias para a apresentação de </w:t>
      </w:r>
      <w:r w:rsidRPr="00D17164">
        <w:t>proposta de metodologia, revisão e reajustes tarifários</w:t>
      </w:r>
      <w:r>
        <w:t xml:space="preserve"> pela </w:t>
      </w:r>
      <w:proofErr w:type="spellStart"/>
      <w:r w:rsidR="002E651A">
        <w:t>Foz|</w:t>
      </w:r>
      <w:r>
        <w:t>Saneatins</w:t>
      </w:r>
      <w:proofErr w:type="spellEnd"/>
      <w:r>
        <w:t>.</w:t>
      </w:r>
    </w:p>
    <w:p w:rsidR="003B5F38" w:rsidRDefault="003B5F38" w:rsidP="003B5F38">
      <w:pPr>
        <w:spacing w:line="360" w:lineRule="auto"/>
        <w:jc w:val="both"/>
      </w:pPr>
      <w:r>
        <w:t>A ATR desenvolveu, durante o Programa de Treinamento e Capacitação para a revisão tarifária</w:t>
      </w:r>
      <w:r w:rsidR="002E651A">
        <w:t xml:space="preserve"> conduzido pela </w:t>
      </w:r>
      <w:proofErr w:type="spellStart"/>
      <w:r w:rsidR="002E651A">
        <w:t>Pezco</w:t>
      </w:r>
      <w:proofErr w:type="spellEnd"/>
      <w:r w:rsidR="002E651A">
        <w:t xml:space="preserve"> </w:t>
      </w:r>
      <w:proofErr w:type="spellStart"/>
      <w:r w:rsidR="002E651A">
        <w:t>Microanalysis</w:t>
      </w:r>
      <w:proofErr w:type="spellEnd"/>
      <w:r>
        <w:t>, uma sistemática voltada à avaliação crítica do material que foi entregue pelo concessionário. Esta Nota Técnica consolida a avaliação da ATR sobre o modelo regulatório, além de inserir, em seu contexto, todos os elementos anteriormente desenvolvidos nas NT1, NT2, NT3 e NT4.</w:t>
      </w:r>
    </w:p>
    <w:p w:rsidR="003B5F38" w:rsidRPr="00BC7D20" w:rsidRDefault="003B5F38" w:rsidP="003B5F38">
      <w:pPr>
        <w:spacing w:line="360" w:lineRule="auto"/>
        <w:jc w:val="both"/>
      </w:pPr>
      <w:r>
        <w:t>A estrutura de apresentação dos documentos regulatórios é apresentada na Tabela a seguir.</w:t>
      </w:r>
    </w:p>
    <w:p w:rsidR="003B5F38" w:rsidRPr="00BF4FDD" w:rsidRDefault="003B5F38" w:rsidP="003B5F38">
      <w:pPr>
        <w:spacing w:line="360" w:lineRule="auto"/>
        <w:jc w:val="center"/>
        <w:rPr>
          <w:b/>
        </w:rPr>
      </w:pPr>
      <w:r w:rsidRPr="00BF4FDD">
        <w:rPr>
          <w:b/>
        </w:rPr>
        <w:t>Estrutura da apresentação dos documentos regulatórios</w:t>
      </w:r>
      <w:r>
        <w:rPr>
          <w:b/>
        </w:rPr>
        <w:t xml:space="preserve"> da Res. 076/2.013</w:t>
      </w:r>
    </w:p>
    <w:tbl>
      <w:tblPr>
        <w:tblStyle w:val="ListaClara-nfase6"/>
        <w:tblW w:w="9192" w:type="dxa"/>
        <w:tblLook w:val="04A0"/>
      </w:tblPr>
      <w:tblGrid>
        <w:gridCol w:w="2093"/>
        <w:gridCol w:w="3426"/>
        <w:gridCol w:w="3673"/>
      </w:tblGrid>
      <w:tr w:rsidR="00897B67" w:rsidTr="00782F3B">
        <w:trPr>
          <w:cnfStyle w:val="100000000000"/>
        </w:trPr>
        <w:tc>
          <w:tcPr>
            <w:cnfStyle w:val="001000000000"/>
            <w:tcW w:w="2093" w:type="dxa"/>
          </w:tcPr>
          <w:p w:rsidR="00897B67" w:rsidRDefault="00897B67" w:rsidP="00782F3B">
            <w:pPr>
              <w:spacing w:after="200" w:line="360" w:lineRule="auto"/>
              <w:jc w:val="both"/>
            </w:pPr>
            <w:r>
              <w:t>Documento ATR</w:t>
            </w:r>
          </w:p>
        </w:tc>
        <w:tc>
          <w:tcPr>
            <w:tcW w:w="3426" w:type="dxa"/>
          </w:tcPr>
          <w:p w:rsidR="00897B67" w:rsidRDefault="00897B67" w:rsidP="00782F3B">
            <w:pPr>
              <w:spacing w:after="200" w:line="360" w:lineRule="auto"/>
              <w:jc w:val="center"/>
              <w:cnfStyle w:val="100000000000"/>
            </w:pPr>
            <w:r>
              <w:t>Título</w:t>
            </w:r>
          </w:p>
        </w:tc>
        <w:tc>
          <w:tcPr>
            <w:tcW w:w="3673" w:type="dxa"/>
          </w:tcPr>
          <w:p w:rsidR="00897B67" w:rsidRDefault="00897B67" w:rsidP="00782F3B">
            <w:pPr>
              <w:spacing w:after="200" w:line="360" w:lineRule="auto"/>
              <w:jc w:val="center"/>
              <w:cnfStyle w:val="100000000000"/>
            </w:pPr>
            <w:r>
              <w:t>Estudo Técnico a que faz referência</w:t>
            </w:r>
          </w:p>
        </w:tc>
      </w:tr>
      <w:tr w:rsidR="00897B67" w:rsidTr="00782F3B">
        <w:trPr>
          <w:cnfStyle w:val="000000100000"/>
          <w:trHeight w:val="773"/>
        </w:trPr>
        <w:tc>
          <w:tcPr>
            <w:cnfStyle w:val="001000000000"/>
            <w:tcW w:w="2093" w:type="dxa"/>
          </w:tcPr>
          <w:p w:rsidR="00897B67" w:rsidRDefault="00897B67" w:rsidP="00782F3B">
            <w:pPr>
              <w:spacing w:after="200" w:line="360" w:lineRule="auto"/>
              <w:jc w:val="both"/>
            </w:pPr>
            <w:r>
              <w:t>NT1</w:t>
            </w:r>
          </w:p>
        </w:tc>
        <w:tc>
          <w:tcPr>
            <w:tcW w:w="3426" w:type="dxa"/>
          </w:tcPr>
          <w:p w:rsidR="00897B67" w:rsidRDefault="00897B67" w:rsidP="00782F3B">
            <w:pPr>
              <w:spacing w:after="200" w:line="360" w:lineRule="auto"/>
              <w:jc w:val="center"/>
              <w:cnfStyle w:val="000000100000"/>
            </w:pPr>
            <w:proofErr w:type="spellStart"/>
            <w:r>
              <w:t>Caraterização</w:t>
            </w:r>
            <w:proofErr w:type="spellEnd"/>
            <w:r>
              <w:t xml:space="preserve"> do ambiente da Regulação no Estado do Tocantins</w:t>
            </w:r>
          </w:p>
        </w:tc>
        <w:tc>
          <w:tcPr>
            <w:tcW w:w="3673" w:type="dxa"/>
          </w:tcPr>
          <w:p w:rsidR="00897B67" w:rsidRDefault="00897B67" w:rsidP="00782F3B">
            <w:pPr>
              <w:spacing w:after="200"/>
              <w:jc w:val="center"/>
              <w:cnfStyle w:val="000000100000"/>
            </w:pPr>
            <w:r>
              <w:t>NOTA TÉCNICA DRE ATR 009/2014 009.1</w:t>
            </w:r>
          </w:p>
        </w:tc>
      </w:tr>
      <w:tr w:rsidR="00897B67" w:rsidTr="00782F3B">
        <w:trPr>
          <w:trHeight w:val="818"/>
        </w:trPr>
        <w:tc>
          <w:tcPr>
            <w:cnfStyle w:val="001000000000"/>
            <w:tcW w:w="2093" w:type="dxa"/>
            <w:vAlign w:val="center"/>
          </w:tcPr>
          <w:p w:rsidR="00897B67" w:rsidRDefault="00897B67" w:rsidP="00782F3B">
            <w:pPr>
              <w:spacing w:after="200" w:line="360" w:lineRule="auto"/>
              <w:jc w:val="both"/>
            </w:pPr>
            <w:r>
              <w:t>NT2</w:t>
            </w:r>
          </w:p>
        </w:tc>
        <w:tc>
          <w:tcPr>
            <w:tcW w:w="3426" w:type="dxa"/>
            <w:vAlign w:val="center"/>
          </w:tcPr>
          <w:p w:rsidR="00897B67" w:rsidRDefault="00897B67" w:rsidP="00782F3B">
            <w:pPr>
              <w:spacing w:after="200" w:line="360" w:lineRule="auto"/>
              <w:jc w:val="center"/>
              <w:cnfStyle w:val="000000000000"/>
            </w:pPr>
            <w:r>
              <w:t>OPEX</w:t>
            </w:r>
          </w:p>
        </w:tc>
        <w:tc>
          <w:tcPr>
            <w:tcW w:w="3673" w:type="dxa"/>
          </w:tcPr>
          <w:p w:rsidR="00897B67" w:rsidRDefault="00897B67" w:rsidP="00782F3B">
            <w:pPr>
              <w:spacing w:after="200"/>
              <w:jc w:val="center"/>
              <w:cnfStyle w:val="000000000000"/>
            </w:pPr>
            <w:r>
              <w:t>NOTA TÉCNICA DRE ATR 009/2014 009.2</w:t>
            </w:r>
          </w:p>
        </w:tc>
      </w:tr>
      <w:tr w:rsidR="00897B67" w:rsidTr="00782F3B">
        <w:trPr>
          <w:cnfStyle w:val="000000100000"/>
        </w:trPr>
        <w:tc>
          <w:tcPr>
            <w:cnfStyle w:val="001000000000"/>
            <w:tcW w:w="2093" w:type="dxa"/>
          </w:tcPr>
          <w:p w:rsidR="00897B67" w:rsidRDefault="00897B67" w:rsidP="00782F3B">
            <w:pPr>
              <w:spacing w:after="200" w:line="360" w:lineRule="auto"/>
              <w:jc w:val="both"/>
            </w:pPr>
            <w:r>
              <w:t>NT3</w:t>
            </w:r>
          </w:p>
        </w:tc>
        <w:tc>
          <w:tcPr>
            <w:tcW w:w="3426" w:type="dxa"/>
          </w:tcPr>
          <w:p w:rsidR="00897B67" w:rsidRDefault="00897B67" w:rsidP="00782F3B">
            <w:pPr>
              <w:spacing w:after="200" w:line="360" w:lineRule="auto"/>
              <w:jc w:val="center"/>
              <w:cnfStyle w:val="000000100000"/>
            </w:pPr>
            <w:r>
              <w:t>Custo de capital</w:t>
            </w:r>
          </w:p>
        </w:tc>
        <w:tc>
          <w:tcPr>
            <w:tcW w:w="3673" w:type="dxa"/>
          </w:tcPr>
          <w:p w:rsidR="00897B67" w:rsidRDefault="00897B67" w:rsidP="00782F3B">
            <w:pPr>
              <w:spacing w:after="200"/>
              <w:jc w:val="center"/>
              <w:cnfStyle w:val="000000100000"/>
            </w:pPr>
            <w:r>
              <w:t>NOTA TÉCNICA DRE ATR 009/2014 009.3</w:t>
            </w:r>
          </w:p>
        </w:tc>
      </w:tr>
      <w:tr w:rsidR="00897B67" w:rsidTr="00782F3B">
        <w:tc>
          <w:tcPr>
            <w:cnfStyle w:val="001000000000"/>
            <w:tcW w:w="2093" w:type="dxa"/>
          </w:tcPr>
          <w:p w:rsidR="00897B67" w:rsidRDefault="00897B67" w:rsidP="00782F3B">
            <w:pPr>
              <w:spacing w:after="200" w:line="360" w:lineRule="auto"/>
              <w:jc w:val="both"/>
            </w:pPr>
            <w:r>
              <w:t>NT4</w:t>
            </w:r>
          </w:p>
        </w:tc>
        <w:tc>
          <w:tcPr>
            <w:tcW w:w="3426" w:type="dxa"/>
          </w:tcPr>
          <w:p w:rsidR="00897B67" w:rsidRDefault="00897B67" w:rsidP="00782F3B">
            <w:pPr>
              <w:spacing w:after="200" w:line="360" w:lineRule="auto"/>
              <w:jc w:val="center"/>
              <w:cnfStyle w:val="000000000000"/>
            </w:pPr>
            <w:r>
              <w:t>CAPEX</w:t>
            </w:r>
          </w:p>
        </w:tc>
        <w:tc>
          <w:tcPr>
            <w:tcW w:w="3673" w:type="dxa"/>
          </w:tcPr>
          <w:p w:rsidR="00897B67" w:rsidRDefault="00897B67" w:rsidP="00782F3B">
            <w:pPr>
              <w:spacing w:after="200"/>
              <w:jc w:val="center"/>
              <w:cnfStyle w:val="000000000000"/>
            </w:pPr>
            <w:r>
              <w:t>NOTA TÉCNICA DRE ATR 009/2014 009.4;</w:t>
            </w:r>
          </w:p>
          <w:p w:rsidR="00897B67" w:rsidRDefault="00897B67" w:rsidP="00782F3B">
            <w:pPr>
              <w:spacing w:after="200"/>
              <w:jc w:val="center"/>
              <w:cnfStyle w:val="000000000000"/>
            </w:pPr>
            <w:r>
              <w:t xml:space="preserve"> NOTA TÉCNICA DRE ATR 009/2014 009.2</w:t>
            </w:r>
          </w:p>
        </w:tc>
      </w:tr>
      <w:tr w:rsidR="00897B67" w:rsidTr="00782F3B">
        <w:trPr>
          <w:cnfStyle w:val="000000100000"/>
          <w:trHeight w:val="556"/>
        </w:trPr>
        <w:tc>
          <w:tcPr>
            <w:cnfStyle w:val="001000000000"/>
            <w:tcW w:w="2093" w:type="dxa"/>
          </w:tcPr>
          <w:p w:rsidR="00897B67" w:rsidRDefault="00897B67" w:rsidP="00782F3B">
            <w:pPr>
              <w:spacing w:after="200" w:line="360" w:lineRule="auto"/>
              <w:jc w:val="both"/>
            </w:pPr>
            <w:r>
              <w:t>NT5</w:t>
            </w:r>
          </w:p>
        </w:tc>
        <w:tc>
          <w:tcPr>
            <w:tcW w:w="3426" w:type="dxa"/>
          </w:tcPr>
          <w:p w:rsidR="00897B67" w:rsidRDefault="00897B67" w:rsidP="00782F3B">
            <w:pPr>
              <w:spacing w:after="200" w:line="360" w:lineRule="auto"/>
              <w:jc w:val="center"/>
              <w:cnfStyle w:val="000000100000"/>
            </w:pPr>
            <w:r>
              <w:t>Modelo tarifário</w:t>
            </w:r>
          </w:p>
        </w:tc>
        <w:tc>
          <w:tcPr>
            <w:tcW w:w="3673" w:type="dxa"/>
          </w:tcPr>
          <w:p w:rsidR="00897B67" w:rsidRDefault="00897B67" w:rsidP="00782F3B">
            <w:pPr>
              <w:spacing w:after="200"/>
              <w:jc w:val="center"/>
              <w:cnfStyle w:val="000000100000"/>
            </w:pPr>
            <w:r>
              <w:t xml:space="preserve">NOTA TÉCNICA DRE ATR 009/2014 009.5 </w:t>
            </w:r>
          </w:p>
        </w:tc>
      </w:tr>
    </w:tbl>
    <w:p w:rsidR="003B5F38" w:rsidRDefault="003B5F38" w:rsidP="003B5F38">
      <w:pPr>
        <w:spacing w:line="360" w:lineRule="auto"/>
        <w:jc w:val="both"/>
      </w:pPr>
    </w:p>
    <w:p w:rsidR="003B5F38" w:rsidRDefault="003B5F38" w:rsidP="003B5F38">
      <w:pPr>
        <w:spacing w:line="360" w:lineRule="auto"/>
        <w:jc w:val="both"/>
      </w:pPr>
    </w:p>
    <w:p w:rsidR="003B5F38" w:rsidRDefault="003B5F38" w:rsidP="003B5F38">
      <w:pPr>
        <w:pStyle w:val="Ttulo1"/>
        <w:numPr>
          <w:ilvl w:val="0"/>
          <w:numId w:val="15"/>
        </w:numPr>
        <w:spacing w:before="0" w:after="200" w:line="360" w:lineRule="auto"/>
        <w:ind w:left="357" w:hanging="357"/>
        <w:jc w:val="both"/>
      </w:pPr>
      <w:bookmarkStart w:id="3" w:name="_Toc377254999"/>
      <w:bookmarkStart w:id="4" w:name="_Toc378193733"/>
      <w:r>
        <w:lastRenderedPageBreak/>
        <w:t>Definição do modelo regulatório</w:t>
      </w:r>
      <w:bookmarkEnd w:id="3"/>
      <w:bookmarkEnd w:id="4"/>
    </w:p>
    <w:p w:rsidR="003B5F38" w:rsidRDefault="003B5F38" w:rsidP="003B5F38">
      <w:pPr>
        <w:spacing w:line="360" w:lineRule="auto"/>
        <w:jc w:val="both"/>
      </w:pPr>
      <w:r>
        <w:t xml:space="preserve">Os modelos tradicionais de regulação econômica do setor de saneamento são baseados, principalmente, na regulação pelo custo ou pelo preço. A regulação pelo custo do serviço ou regulação por taxa de retorno, conforme Melo e Turolla (2013), realiza o ajuste </w:t>
      </w:r>
      <w:proofErr w:type="spellStart"/>
      <w:r>
        <w:t>ex-post</w:t>
      </w:r>
      <w:proofErr w:type="spellEnd"/>
      <w:r>
        <w:t xml:space="preserve"> das tarifas de forma a assegurar um determinado nível de remuneração ao prestador de serviços. </w:t>
      </w:r>
    </w:p>
    <w:p w:rsidR="003B5F38" w:rsidRDefault="003B5F38" w:rsidP="003B5F38">
      <w:pPr>
        <w:spacing w:line="360" w:lineRule="auto"/>
        <w:jc w:val="both"/>
      </w:pPr>
      <w:r>
        <w:t xml:space="preserve">Nesta modalidade de regulação, parte significativa do risco do negócio é transferida aos usuários do serviço, na medida em que as alterações nas diversas variáveis econômico-financeiras podem ser repassadas às tarifas. As vantagens dessa forma de regulação incluem a sustentabilidade do negócio, já que as tarifas são sempre adaptadas às condições observadas, e o incentivo a elevados dispêndios de capital. Neste particular, a tendência dos reguladores é pelo estabelecimento de uma taxa de retorno atrativa, de forma a não prejudicar a sustentabilidade do negócio. Essa taxa de retorno atrativa significa que os investimentos em capital são incentivados, o que inclusive pode produzir excesso de investimentos, incluindo eventuais dispêndios de capital desnecessários ou imprudentes – um efeito conhecido como </w:t>
      </w:r>
      <w:proofErr w:type="spellStart"/>
      <w:r>
        <w:t>Averch-Johnson</w:t>
      </w:r>
      <w:proofErr w:type="spellEnd"/>
      <w:r>
        <w:t>.</w:t>
      </w:r>
    </w:p>
    <w:p w:rsidR="003B5F38" w:rsidRDefault="003B5F38" w:rsidP="003B5F38">
      <w:pPr>
        <w:spacing w:line="360" w:lineRule="auto"/>
        <w:jc w:val="both"/>
      </w:pPr>
      <w:r>
        <w:t xml:space="preserve">Em presença de típica assimetria de informação entre o regulador e o regulado, aparece uma importante desvantagem dessa forma de regulação: o operador pode repassar ineficiências a custo, penalizando os usuários. Trata-se, portanto, de uma forma de regulação que tipicamente não produz os melhores incentivos à parcimônia no uso dos recursos por parte do prestador. Argumenta-se que o modelo </w:t>
      </w:r>
      <w:proofErr w:type="spellStart"/>
      <w:r>
        <w:t>Planasa</w:t>
      </w:r>
      <w:proofErr w:type="spellEnd"/>
      <w:r>
        <w:t xml:space="preserve"> teve justamente esse</w:t>
      </w:r>
      <w:r w:rsidR="00BA04AD">
        <w:t xml:space="preserve"> efeito</w:t>
      </w:r>
      <w:r>
        <w:t>, qual seja, o de produzir dispêndios de capital significativos</w:t>
      </w:r>
      <w:r w:rsidR="00BA04AD">
        <w:t>, ampliando as coberturas, mas</w:t>
      </w:r>
      <w:r>
        <w:t xml:space="preserve"> sem a devida atenção aos aspectos operacionais, produzindo um parque instalado de infraestrutura com elevados índices de perdas, ainda hoje.</w:t>
      </w:r>
      <w:r w:rsidR="00BA04AD">
        <w:t xml:space="preserve"> </w:t>
      </w:r>
    </w:p>
    <w:p w:rsidR="003B5F38" w:rsidRDefault="00BA04AD" w:rsidP="003B5F38">
      <w:pPr>
        <w:spacing w:line="360" w:lineRule="auto"/>
        <w:jc w:val="both"/>
      </w:pPr>
      <w:r>
        <w:t>Por sua vez, a</w:t>
      </w:r>
      <w:r w:rsidR="003B5F38">
        <w:t xml:space="preserve"> regulação dos preços, também conhecida por regulação por incentivos, por sua vez, foi desenvolvida no Reino Unido nos anos oitenta, e tem como especial relevância sua típica força na criação de incentivos à eficiência operacional. Nesta modalidade,</w:t>
      </w:r>
    </w:p>
    <w:p w:rsidR="003B5F38" w:rsidRPr="00297E50" w:rsidRDefault="003B5F38" w:rsidP="003B5F38">
      <w:pPr>
        <w:spacing w:line="360" w:lineRule="auto"/>
        <w:ind w:left="2832"/>
        <w:jc w:val="both"/>
        <w:rPr>
          <w:i/>
        </w:rPr>
      </w:pPr>
      <w:r w:rsidRPr="00297E50">
        <w:rPr>
          <w:i/>
        </w:rPr>
        <w:t xml:space="preserve">“A </w:t>
      </w:r>
      <w:r w:rsidR="00831313" w:rsidRPr="00297E50">
        <w:rPr>
          <w:i/>
        </w:rPr>
        <w:t>ideia</w:t>
      </w:r>
      <w:r w:rsidRPr="00297E50">
        <w:rPr>
          <w:i/>
        </w:rPr>
        <w:t xml:space="preserve"> básica por trás da regulação pelo preço é que o regulador está em desvantagem de informação em relação ao prestador quanto ao potencial de eficiência operacional (assimetria de informação). O regulador não sabe se o ganho de produtividade obtido é resultado de esforço gerencial ou se é natural, em virtude das características inerentes do setor ou da empresa” (Melo e Turolla, 2013, p. 140).</w:t>
      </w:r>
    </w:p>
    <w:p w:rsidR="003B5F38" w:rsidRDefault="003B5F38" w:rsidP="003B5F38">
      <w:pPr>
        <w:spacing w:line="360" w:lineRule="auto"/>
        <w:jc w:val="both"/>
      </w:pPr>
      <w:r>
        <w:lastRenderedPageBreak/>
        <w:t xml:space="preserve">Adicionalmente, a seguinte passagem de Melo e Turolla (2013, p. 141) ilustra as vantagens da aplicação, ao menos parcial, do método do </w:t>
      </w:r>
      <w:proofErr w:type="spellStart"/>
      <w:r w:rsidRPr="00180864">
        <w:rPr>
          <w:i/>
        </w:rPr>
        <w:t>price</w:t>
      </w:r>
      <w:proofErr w:type="spellEnd"/>
      <w:r w:rsidRPr="00180864">
        <w:rPr>
          <w:i/>
        </w:rPr>
        <w:t xml:space="preserve"> </w:t>
      </w:r>
      <w:proofErr w:type="spellStart"/>
      <w:r w:rsidRPr="00180864">
        <w:rPr>
          <w:i/>
        </w:rPr>
        <w:t>cap</w:t>
      </w:r>
      <w:proofErr w:type="spellEnd"/>
      <w:r>
        <w:t xml:space="preserve"> no contexto sob análise:</w:t>
      </w:r>
    </w:p>
    <w:p w:rsidR="003B5F38" w:rsidRPr="00297E50" w:rsidRDefault="003B5F38" w:rsidP="003B5F38">
      <w:pPr>
        <w:spacing w:line="360" w:lineRule="auto"/>
        <w:ind w:left="2832"/>
        <w:jc w:val="both"/>
        <w:rPr>
          <w:i/>
        </w:rPr>
      </w:pPr>
      <w:r w:rsidRPr="00297E50">
        <w:rPr>
          <w:i/>
        </w:rPr>
        <w:t xml:space="preserve">“A regulação por incentivos adota uma abordagem menos intervencionista por meio do uso de recompensas e penalidades, que induzem o prestador a atingir objetivos desejáveis com maior liberdade de atuação (Lewis e </w:t>
      </w:r>
      <w:proofErr w:type="spellStart"/>
      <w:r w:rsidRPr="00297E50">
        <w:rPr>
          <w:i/>
        </w:rPr>
        <w:t>Garmon</w:t>
      </w:r>
      <w:proofErr w:type="spellEnd"/>
      <w:r w:rsidRPr="00297E50">
        <w:rPr>
          <w:i/>
        </w:rPr>
        <w:t xml:space="preserve"> apud Berg, 2000). Os incentivos substituem a tradicional forma de regulação por comando e controle”. </w:t>
      </w:r>
    </w:p>
    <w:p w:rsidR="003B5F38" w:rsidRDefault="003B5F38" w:rsidP="003B5F38">
      <w:pPr>
        <w:spacing w:line="360" w:lineRule="auto"/>
        <w:jc w:val="both"/>
      </w:pPr>
      <w:r>
        <w:t>E os mesmos autores acrescentam, evidenciando elementos do processo de regulação por incentivos que ora se pretende aplicar no Estado do Tocantins:</w:t>
      </w:r>
    </w:p>
    <w:p w:rsidR="003B5F38" w:rsidRPr="00297E50" w:rsidRDefault="003B5F38" w:rsidP="003B5F38">
      <w:pPr>
        <w:spacing w:line="360" w:lineRule="auto"/>
        <w:ind w:left="2832"/>
        <w:jc w:val="both"/>
        <w:rPr>
          <w:i/>
        </w:rPr>
      </w:pPr>
      <w:r w:rsidRPr="00297E50">
        <w:rPr>
          <w:i/>
        </w:rPr>
        <w:t>“Em vez da determinação unilateral dos objetivos por parte do regulador, o prestador pode ser consultado e fornecer relevantes informações acerca das complexas interdependências que afetam seu desempenho. O regulador não prescreve ações específicas e permite que o prestador decida, utilizando informações internas, como promover a melhoria de desempenho (Berg, 2000)”.</w:t>
      </w:r>
    </w:p>
    <w:p w:rsidR="003B5F38" w:rsidRDefault="003B5F38" w:rsidP="003B5F38">
      <w:pPr>
        <w:spacing w:line="360" w:lineRule="auto"/>
        <w:jc w:val="both"/>
      </w:pPr>
      <w:r>
        <w:t xml:space="preserve">O estágio atual do setor de saneamento no Brasil e </w:t>
      </w:r>
      <w:r w:rsidR="00BA04AD">
        <w:t>no</w:t>
      </w:r>
      <w:r>
        <w:t xml:space="preserve"> Tocantins ainda demanda elevados investimentos; porém, pelo menos no segmento de abastecimento de água, o Estado já conta com importante infraestrutura já instalada, o que indica que a regulação já pode se voltar, pelo menos parcialmente, para a obtenção da eficiência operacional dos ativos existentes. Não se pode descuidar, entretanto, dos incentivos para a construção da infraestrutura que atenderá aos segmentos ainda não conectados ou não atendidos, que ainda demanda um pesado orçamento de investimentos.</w:t>
      </w:r>
    </w:p>
    <w:p w:rsidR="003B5F38" w:rsidRPr="00D15054" w:rsidRDefault="003B5F38" w:rsidP="003B5F38">
      <w:pPr>
        <w:spacing w:line="360" w:lineRule="auto"/>
        <w:jc w:val="both"/>
        <w:rPr>
          <w:vertAlign w:val="subscript"/>
        </w:rPr>
      </w:pPr>
      <w:r>
        <w:t xml:space="preserve">Assim, optamos no Estado do Tocantins por um modelo misto, que tende a produzir eficiência operacional através da fixação de um fator de produtividade, regulando a </w:t>
      </w:r>
      <w:proofErr w:type="spellStart"/>
      <w:r w:rsidR="002E651A">
        <w:t>Foz|</w:t>
      </w:r>
      <w:r>
        <w:t>Saneatins</w:t>
      </w:r>
      <w:proofErr w:type="spellEnd"/>
      <w:r>
        <w:t xml:space="preserve"> por incentivos, privilegiando a eficiência operacional, mas também observando os aspectos da sustentabilidade do operador e da taxa de retorno para que se produzam os estímulos aos investimentos que </w:t>
      </w:r>
      <w:r w:rsidR="00BA04AD">
        <w:t>deverã</w:t>
      </w:r>
      <w:r>
        <w:t>o assegurar a universalização dos serviços de água e de esgoto no Estado</w:t>
      </w:r>
      <w:r w:rsidR="00BA04AD">
        <w:t xml:space="preserve"> – o que continua sendo um objetivo crucial das políticas públicas</w:t>
      </w:r>
      <w:r>
        <w:t>.</w:t>
      </w:r>
    </w:p>
    <w:p w:rsidR="003B5F38" w:rsidRDefault="003B5F38" w:rsidP="003B5F38">
      <w:pPr>
        <w:pStyle w:val="Ttulo2"/>
        <w:numPr>
          <w:ilvl w:val="1"/>
          <w:numId w:val="15"/>
        </w:numPr>
        <w:spacing w:after="120"/>
        <w:ind w:left="765" w:hanging="405"/>
      </w:pPr>
      <w:bookmarkStart w:id="5" w:name="_Toc377255000"/>
      <w:bookmarkStart w:id="6" w:name="_Toc378193734"/>
      <w:r>
        <w:lastRenderedPageBreak/>
        <w:t xml:space="preserve">Fatos do Primeiro Ciclo Tarifário da </w:t>
      </w:r>
      <w:r w:rsidR="002E651A">
        <w:t xml:space="preserve">Foz | </w:t>
      </w:r>
      <w:proofErr w:type="spellStart"/>
      <w:r>
        <w:t>Saneatins</w:t>
      </w:r>
      <w:bookmarkEnd w:id="5"/>
      <w:bookmarkEnd w:id="6"/>
      <w:proofErr w:type="spellEnd"/>
    </w:p>
    <w:p w:rsidR="003B5F38" w:rsidRDefault="003B5F38" w:rsidP="003B5F38">
      <w:pPr>
        <w:spacing w:line="360" w:lineRule="auto"/>
        <w:jc w:val="both"/>
      </w:pPr>
      <w:r>
        <w:t>O processo de Revisão Tarifária corresponde ao estabelecimento de um preço inicial (p</w:t>
      </w:r>
      <w:r w:rsidRPr="0046581B">
        <w:rPr>
          <w:vertAlign w:val="subscript"/>
        </w:rPr>
        <w:t>0</w:t>
      </w:r>
      <w:r>
        <w:t>) que será válido ao longo do ciclo tarifário, definido como sendo de 4 (quatro) anos. Este período é adequado, por diversos motivos apontados no ET06, como a experiência prévia de outras entidades reguladoras e a consistência com o ciclo de planejamento dos poderes concedentes, que também foi estabelecido em quatro anos pela lei no. 11.445/2007.</w:t>
      </w:r>
    </w:p>
    <w:p w:rsidR="003B5F38" w:rsidRDefault="003B5F38" w:rsidP="003B5F38">
      <w:pPr>
        <w:spacing w:line="360" w:lineRule="auto"/>
        <w:jc w:val="both"/>
      </w:pPr>
      <w:r>
        <w:t xml:space="preserve">A Revisão Tarifária, assim, se inicia em 2014, que corresponde ao primeiro ano do primeiro ciclo tarifário da </w:t>
      </w:r>
      <w:proofErr w:type="spellStart"/>
      <w:r w:rsidR="002E651A">
        <w:t>Foz|</w:t>
      </w:r>
      <w:r>
        <w:t>Saneatins</w:t>
      </w:r>
      <w:proofErr w:type="spellEnd"/>
      <w:r>
        <w:t xml:space="preserve">, que se encerrará em 2017 com novo processo de revisão tarifária. Cumpre observar que o primeiro ciclo de Revisão Tarifária ora iniciado corresponde a um processo de natureza ordinária, sendo que a ocorrência de fatos supervenientes poderá desencadear, mesmo durante o ciclo tarifário, um ou mais processos de Revisão Tarifária Extraordinária. </w:t>
      </w:r>
    </w:p>
    <w:p w:rsidR="003B5F38" w:rsidRDefault="003B5F38" w:rsidP="003B5F38">
      <w:pPr>
        <w:spacing w:line="360" w:lineRule="auto"/>
        <w:jc w:val="both"/>
      </w:pPr>
      <w:r>
        <w:t xml:space="preserve">Ao longo do ciclo tarifário, durante os anos de 2014 a 2017, o preço nominal será atualizado anualmente pela taxa de inflação. Adicionalmente, como é próprio do regime regulatório de preço-teto, o preço será ajustado por um fator de produtividade (“Fator X”). O esquema a seguir ilustra os fatos ordinários previstos para o primeiro ciclo de Revisão Tarifária da </w:t>
      </w:r>
      <w:proofErr w:type="spellStart"/>
      <w:r w:rsidR="002E651A">
        <w:t>Foz|</w:t>
      </w:r>
      <w:r>
        <w:t>Saneatins</w:t>
      </w:r>
      <w:proofErr w:type="spellEnd"/>
      <w:r>
        <w:rPr>
          <w:rStyle w:val="Refdenotaderodap"/>
        </w:rPr>
        <w:footnoteReference w:id="1"/>
      </w:r>
      <w:r>
        <w:t>.</w:t>
      </w:r>
    </w:p>
    <w:p w:rsidR="003B5F38" w:rsidRDefault="003B5F38" w:rsidP="003B5F38">
      <w:pPr>
        <w:spacing w:line="360" w:lineRule="auto"/>
        <w:jc w:val="both"/>
      </w:pPr>
    </w:p>
    <w:p w:rsidR="003B5F38" w:rsidRPr="001F73D9" w:rsidRDefault="003B5F38" w:rsidP="003B5F38">
      <w:pPr>
        <w:spacing w:line="360" w:lineRule="auto"/>
        <w:jc w:val="center"/>
        <w:rPr>
          <w:b/>
        </w:rPr>
      </w:pPr>
      <w:r w:rsidRPr="001F73D9">
        <w:rPr>
          <w:b/>
        </w:rPr>
        <w:t xml:space="preserve">Diagrama – 1º Ciclo Tarifário da </w:t>
      </w:r>
      <w:r w:rsidR="002E651A">
        <w:rPr>
          <w:b/>
        </w:rPr>
        <w:t xml:space="preserve">Foz | </w:t>
      </w:r>
      <w:proofErr w:type="spellStart"/>
      <w:r w:rsidRPr="001F73D9">
        <w:rPr>
          <w:b/>
        </w:rPr>
        <w:t>Saneatins</w:t>
      </w:r>
      <w:proofErr w:type="spellEnd"/>
    </w:p>
    <w:p w:rsidR="003B5F38" w:rsidRDefault="003B5F38" w:rsidP="003B5F38">
      <w:pPr>
        <w:spacing w:line="360" w:lineRule="auto"/>
        <w:jc w:val="both"/>
      </w:pPr>
      <w:r>
        <w:rPr>
          <w:noProof/>
          <w:lang w:eastAsia="pt-BR"/>
        </w:rPr>
        <w:drawing>
          <wp:inline distT="0" distB="0" distL="0" distR="0">
            <wp:extent cx="5332627" cy="9048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4333" cy="917043"/>
                    </a:xfrm>
                    <a:prstGeom prst="rect">
                      <a:avLst/>
                    </a:prstGeom>
                    <a:noFill/>
                  </pic:spPr>
                </pic:pic>
              </a:graphicData>
            </a:graphic>
          </wp:inline>
        </w:drawing>
      </w:r>
    </w:p>
    <w:p w:rsidR="003B5F38" w:rsidRDefault="003B5F38" w:rsidP="003B5F38">
      <w:pPr>
        <w:spacing w:line="360" w:lineRule="auto"/>
        <w:jc w:val="both"/>
      </w:pPr>
    </w:p>
    <w:p w:rsidR="003B5F38" w:rsidRDefault="003B5F38" w:rsidP="003B5F38">
      <w:pPr>
        <w:pStyle w:val="Ttulo2"/>
        <w:numPr>
          <w:ilvl w:val="1"/>
          <w:numId w:val="15"/>
        </w:numPr>
        <w:spacing w:after="120"/>
        <w:ind w:left="765" w:hanging="405"/>
      </w:pPr>
      <w:bookmarkStart w:id="7" w:name="_Toc377255001"/>
      <w:bookmarkStart w:id="8" w:name="_Toc378193735"/>
      <w:r>
        <w:t>O processo de reajuste tarifário anual</w:t>
      </w:r>
      <w:bookmarkEnd w:id="7"/>
      <w:bookmarkEnd w:id="8"/>
    </w:p>
    <w:p w:rsidR="003B5F38" w:rsidRDefault="003B5F38" w:rsidP="003B5F38">
      <w:pPr>
        <w:spacing w:line="360" w:lineRule="auto"/>
        <w:jc w:val="both"/>
      </w:pPr>
      <w:r>
        <w:t>Os Reajustes Tarifários anuais são um elemento fundamental para a preservação do equilíbrio econômico-financeiro dos contratos de concessão e de programa. São fatos previstos no cronograma do processo de Regulação Tarifária.</w:t>
      </w:r>
    </w:p>
    <w:p w:rsidR="003B5F38" w:rsidRDefault="003B5F38" w:rsidP="003B5F38">
      <w:pPr>
        <w:spacing w:line="360" w:lineRule="auto"/>
        <w:jc w:val="both"/>
      </w:pPr>
      <w:r>
        <w:lastRenderedPageBreak/>
        <w:t>Cumpre observar que toda a modelagem do processo de Revisão Tarifária para este primeiro Ciclo Tarifário foi realizada pela técnica de Moeda Constante. Para que a modelagem da Revisão Tarifária de fato corresponda à realidade subjacente é indispensável que os valores monetários sejam atualizados periodicamente, sendo que a ausência dessa correção criará desequilíbrios econômico-financeiros no ambiente contratual. É importante observar que há precedentes de ausência de correção monetária nos serviços de saneamento prestados no Estado do Tocantins, os quais são reconhecidos neste processo de Revisão Tarifária.</w:t>
      </w:r>
    </w:p>
    <w:p w:rsidR="003B5F38" w:rsidRDefault="003B5F38" w:rsidP="003B5F38">
      <w:pPr>
        <w:spacing w:line="360" w:lineRule="auto"/>
        <w:jc w:val="both"/>
      </w:pPr>
      <w:r>
        <w:t xml:space="preserve">Há diversas opções para a escolha do indexador da tarifa, ou seja, do índice que promoverá a preservação do poder de compra da moeda nos reajustes tarifários anuais. Um critério fundamental de escolha é que o índice não reflita os custos que podem ser gerenciados pelo próprio operador. Caso assim se fizesse, o operador teria incentivo para, inflando deliberadamente seus custos, obter majorações da tarifa. Em outras palavras, é importante que a composição do índice não possa ser diretamente influenciada pelo comportamento do próprio operador. Assim, a escolha costuma recair sobre cestas de custos setoriais ou mesmo sobre índices públicos de inflação. </w:t>
      </w:r>
    </w:p>
    <w:p w:rsidR="003B5F38" w:rsidRDefault="003B5F38" w:rsidP="003B5F38">
      <w:pPr>
        <w:spacing w:line="360" w:lineRule="auto"/>
        <w:jc w:val="both"/>
      </w:pPr>
      <w:r>
        <w:t xml:space="preserve">No caso em tela, a construção de um índice setorial seria um esforço demasiadamente dispendioso, além de não oferecer grande vantagem relativamente ao uso de um índice público geral de inflação, ou de preços ao consumidor. Assim, passamos à consideração sobre os índices de preços disponíveis no Brasil, entre os quais sobressaem os índices gerais, calculados pela Fundação Getúlio Vargas (IGP-M e outros) e os índices de preços ao consumidor (IPCA e outros). </w:t>
      </w:r>
    </w:p>
    <w:p w:rsidR="003B5F38" w:rsidRDefault="003B5F38" w:rsidP="003B5F38">
      <w:pPr>
        <w:spacing w:line="360" w:lineRule="auto"/>
        <w:jc w:val="both"/>
      </w:pPr>
      <w:r>
        <w:t xml:space="preserve">No caso dos índices gerais, como o IGP-M, também não consideramos apropriado para o uso no caso prático de Tocantins devido à composição desse índice. Em sua estrutura de ponderações, 60% do peso total é oriundo do IPA – índice de Preços ao Produtor Ampliado (antigamente, Índice de Preços por Atacado), que inclui uma gama de itens que são sensíveis aos preços internacionais de commodities agrícolas e industriais, bem como de alta sensibilidade frente a flutuações da taxa de câmbio. Nenhum desses itens tem uma influência tão significativa no orçamento familiar quanto tem nos preços de atacado ou ao produtor. </w:t>
      </w:r>
    </w:p>
    <w:p w:rsidR="003B5F38" w:rsidRDefault="003B5F38" w:rsidP="003B5F38">
      <w:pPr>
        <w:spacing w:line="360" w:lineRule="auto"/>
        <w:jc w:val="both"/>
      </w:pPr>
      <w:r>
        <w:t>Caso optássemos por um índice geral como o IGP-M, estaríamos ex</w:t>
      </w:r>
      <w:r w:rsidR="00BA04AD">
        <w:t>pondo o usuário de saneamento do</w:t>
      </w:r>
      <w:r>
        <w:t xml:space="preserve"> Tocantins à volatilidade de preços internacionais de commodities e da moeda estrangeira, a qual nada têm a ver com a flutuação de sua renda familiar ou com seu orçamento doméstico. Veja-se que: </w:t>
      </w:r>
    </w:p>
    <w:p w:rsidR="003B5F38" w:rsidRPr="008E7FEC" w:rsidRDefault="003B5F38" w:rsidP="003B5F38">
      <w:pPr>
        <w:spacing w:line="360" w:lineRule="auto"/>
        <w:ind w:left="2832"/>
        <w:jc w:val="both"/>
        <w:rPr>
          <w:i/>
        </w:rPr>
      </w:pPr>
      <w:r w:rsidRPr="008E7FEC">
        <w:rPr>
          <w:i/>
        </w:rPr>
        <w:lastRenderedPageBreak/>
        <w:t xml:space="preserve">“A adoção de um índice de inflação ao consumidor objetiva refletir na tarifa a inflação média da economia e acompanhar a capacidade de pagamento dos usuários, já que salários costumam acompanhar a inflação. Este método contribui para a inflação inercial e exige considerações adicionais quando as variações de preços de insumos do prestador não guardam relação com o índice de inflação utilizado. A ANEEL, por exemplo, ao adotar o IGP-M em sua fórmula do </w:t>
      </w:r>
      <w:proofErr w:type="spellStart"/>
      <w:r w:rsidRPr="008E7FEC">
        <w:rPr>
          <w:i/>
        </w:rPr>
        <w:t>Price</w:t>
      </w:r>
      <w:proofErr w:type="spellEnd"/>
      <w:r w:rsidRPr="008E7FEC">
        <w:rPr>
          <w:i/>
        </w:rPr>
        <w:t xml:space="preserve"> </w:t>
      </w:r>
      <w:proofErr w:type="spellStart"/>
      <w:r w:rsidRPr="008E7FEC">
        <w:rPr>
          <w:i/>
        </w:rPr>
        <w:t>Cap</w:t>
      </w:r>
      <w:proofErr w:type="spellEnd"/>
      <w:r w:rsidRPr="008E7FEC">
        <w:rPr>
          <w:i/>
        </w:rPr>
        <w:t>, teve de criar um elemento no Fator X que ajustasse o índice de reajuste à variação do custo de pessoal, que é mais aderente ao IPCA” Melo e Turolla (2013, p. 145)</w:t>
      </w:r>
    </w:p>
    <w:p w:rsidR="003B5F38" w:rsidRDefault="003B5F38" w:rsidP="003B5F38">
      <w:pPr>
        <w:spacing w:line="360" w:lineRule="auto"/>
        <w:jc w:val="both"/>
      </w:pPr>
      <w:r>
        <w:t>Assim, buscando preservar alguma correlação das tarifas de saneamento com o orçamento familiar, optamos por um índice de preços ao consumidor. A nossa escolha recai sobre o Índice de Preços ao Consumidor Ampliado (IPCA), calculado pelo Instituto Brasileiro de Geografia e Estatística (IBGE). Este índice apresenta a vantagem de ser o índice oficial de utilização mais ampla no Brasil, inclusive sendo o balizador da política de metas de inflação que são definidas anualmente pelo Conselho Monetário Nacional (CMN). O IPCA tem como característica ter uma ampla divulgação pública, com forte acompanhamento da sociedade sobre a sua construção e sobre a metodologia, o que o torna um bom índice para a atualização monetária dos preços médios máximos definidos durante o Primeiro Ciclo Tarifário.</w:t>
      </w:r>
    </w:p>
    <w:p w:rsidR="003B5F38" w:rsidRDefault="003B5F38" w:rsidP="003B5F38">
      <w:pPr>
        <w:spacing w:line="360" w:lineRule="auto"/>
        <w:jc w:val="both"/>
      </w:pPr>
    </w:p>
    <w:p w:rsidR="003B5F38" w:rsidRDefault="003B5F38" w:rsidP="003B5F38">
      <w:pPr>
        <w:pStyle w:val="Ttulo2"/>
        <w:numPr>
          <w:ilvl w:val="1"/>
          <w:numId w:val="15"/>
        </w:numPr>
        <w:spacing w:after="120"/>
        <w:ind w:left="765" w:hanging="405"/>
      </w:pPr>
      <w:bookmarkStart w:id="9" w:name="_Toc377255002"/>
      <w:bookmarkStart w:id="10" w:name="_Toc378193736"/>
      <w:r>
        <w:t>A definição do Fator X do Primeiro Ciclo Tarifário</w:t>
      </w:r>
      <w:bookmarkEnd w:id="9"/>
      <w:bookmarkEnd w:id="10"/>
    </w:p>
    <w:p w:rsidR="003B5F38" w:rsidRDefault="00A83BD8" w:rsidP="003B5F38">
      <w:pPr>
        <w:spacing w:line="360" w:lineRule="auto"/>
        <w:jc w:val="both"/>
      </w:pPr>
      <w:r>
        <w:t xml:space="preserve">Essencialmente, o Fator X antecipa os ganhos de produtividade potencialmente realizáveis, definidos pelo regulador para o ciclo tarifário. As fontes de ganhos de produtividade incluem as economias de escala (volume), de escopo (compartilhamento de custos entre atividades diferentes), variação de preços de insumos, entre outros. </w:t>
      </w:r>
      <w:r w:rsidR="003B5F38">
        <w:t>A definição do Fator X pode ser realizada</w:t>
      </w:r>
      <w:r>
        <w:t xml:space="preserve"> através de diferentes métodos.</w:t>
      </w:r>
    </w:p>
    <w:p w:rsidR="00A83BD8" w:rsidRPr="00A83BD8" w:rsidRDefault="00A83BD8" w:rsidP="003B5F38">
      <w:pPr>
        <w:spacing w:line="360" w:lineRule="auto"/>
        <w:jc w:val="both"/>
      </w:pPr>
      <w:r>
        <w:t xml:space="preserve">Cumpre notar que o modelo definido pelo Estado do Tocantins para o setor de saneamento pode ser defendido na base de seus ganhos de produtividade potenciais. Assim, a evolução dos indicadores operacionais e o Fator X definido pelo regulador devem refletir essas vantagens do modelo escolhido, gerando o efeito pretendido na Lei Nacional de Diretrizes, art. 38, inciso I, que estipulou </w:t>
      </w:r>
      <w:r>
        <w:lastRenderedPageBreak/>
        <w:t xml:space="preserve">que as revisões tarifárias periódicas têm o efeito de realizar </w:t>
      </w:r>
      <w:r w:rsidRPr="00A83BD8">
        <w:t xml:space="preserve">a “distribuição dos ganhos de produtividade com os usuários”. Nesse mesmo artigo, os parágrafos 2º e 3º estipulam que: </w:t>
      </w:r>
    </w:p>
    <w:p w:rsidR="00A83BD8" w:rsidRPr="00A83BD8" w:rsidRDefault="00A83BD8" w:rsidP="00A83BD8">
      <w:pPr>
        <w:spacing w:line="360" w:lineRule="auto"/>
        <w:ind w:left="1416"/>
        <w:jc w:val="both"/>
      </w:pPr>
      <w:r w:rsidRPr="00A83BD8">
        <w:t>§ 2</w:t>
      </w:r>
      <w:r w:rsidRPr="00A83BD8">
        <w:rPr>
          <w:vertAlign w:val="superscript"/>
        </w:rPr>
        <w:t>o</w:t>
      </w:r>
      <w:r w:rsidR="004A290D">
        <w:t> </w:t>
      </w:r>
      <w:r w:rsidRPr="00A83BD8">
        <w:t>Poderão ser estabelecidos mecanismos tarifários de indução à eficiência, inclusive fatores de produtividade, assim como de antecipação de metas de expansão e qualidade dos serviços.</w:t>
      </w:r>
    </w:p>
    <w:p w:rsidR="00A83BD8" w:rsidRPr="00A83BD8" w:rsidRDefault="00A83BD8" w:rsidP="00A83BD8">
      <w:pPr>
        <w:spacing w:line="360" w:lineRule="auto"/>
        <w:ind w:left="1416"/>
        <w:jc w:val="both"/>
      </w:pPr>
      <w:r w:rsidRPr="00A83BD8">
        <w:t>§ 3</w:t>
      </w:r>
      <w:r w:rsidRPr="00A83BD8">
        <w:rPr>
          <w:vertAlign w:val="superscript"/>
        </w:rPr>
        <w:t>o</w:t>
      </w:r>
      <w:r w:rsidRPr="00A83BD8">
        <w:t> Os fatores de produtividade poderão ser definidos com base em indicadores de outras empresas do setor.</w:t>
      </w:r>
    </w:p>
    <w:p w:rsidR="003B5F38" w:rsidRDefault="004A290D" w:rsidP="003B5F38">
      <w:pPr>
        <w:spacing w:line="360" w:lineRule="auto"/>
        <w:jc w:val="both"/>
      </w:pPr>
      <w:r>
        <w:t xml:space="preserve">Quanto ao parágrafo 3º, cumpre notar que os fatores de produtividade podem (mas não necessariamente devem) ser estabelecidos em bases comparativas. No caso da </w:t>
      </w:r>
      <w:proofErr w:type="spellStart"/>
      <w:r>
        <w:t>Foz|Saneatins</w:t>
      </w:r>
      <w:proofErr w:type="spellEnd"/>
      <w:r>
        <w:t>, tendo em vista a trajetória de investimentos planejados e em andamento, que implicam em mudanças importantes na cobertura do serviço de esgotos, há importantes ganhos de eficiência em andamento e que devem ser capturados pelo regulador no processo de revisão tarifária e que podem ser avaliados em termos absolutos, na comparação temporal levando em conta a própria evolução temporal dos indicadores operacionais dos serviços. Em um momento posterior, ou no próximo ciclo tarifário, com as coberturas mais consolidadas, pode-se iniciar a avaliação de eficiência em</w:t>
      </w:r>
      <w:r w:rsidR="0050495B">
        <w:t xml:space="preserve"> bases comparativas.</w:t>
      </w:r>
    </w:p>
    <w:p w:rsidR="008D1097" w:rsidRDefault="0050495B" w:rsidP="003B5F38">
      <w:pPr>
        <w:spacing w:line="360" w:lineRule="auto"/>
        <w:jc w:val="both"/>
      </w:pPr>
      <w:r>
        <w:t xml:space="preserve">No ciclo tarifário em andamento propomos seguir </w:t>
      </w:r>
      <w:r w:rsidR="008D1097">
        <w:t>a estimativa d</w:t>
      </w:r>
      <w:r>
        <w:t xml:space="preserve">o ganho </w:t>
      </w:r>
      <w:r w:rsidR="008D1097">
        <w:t xml:space="preserve">de eficiência em despesas </w:t>
      </w:r>
      <w:r>
        <w:t xml:space="preserve">proposto pela ARSESP para </w:t>
      </w:r>
      <w:r w:rsidR="008D1097">
        <w:t>o setor de saneamento. Note-se que no processo de revisão tarifária d</w:t>
      </w:r>
      <w:r>
        <w:t xml:space="preserve">a </w:t>
      </w:r>
      <w:r w:rsidR="008D1097">
        <w:t xml:space="preserve">Cia. </w:t>
      </w:r>
      <w:r>
        <w:t>Sabesp</w:t>
      </w:r>
      <w:r w:rsidR="00823FC7">
        <w:t xml:space="preserve"> o regulador ARSESP estimou uma taxa de mudança tecnológica, que se aplica ao setor de saneamento, de 2% ao ano. </w:t>
      </w:r>
      <w:r w:rsidR="00644412">
        <w:t>Este componente “tenta capturar até que ponto a fronteira eficiente se desloca ao longo do tempo como resultado da mudança tecnológica”</w:t>
      </w:r>
      <w:r w:rsidR="00644412">
        <w:rPr>
          <w:rStyle w:val="Refdenotaderodap"/>
        </w:rPr>
        <w:footnoteReference w:id="2"/>
      </w:r>
      <w:r w:rsidR="00644412">
        <w:t xml:space="preserve">. </w:t>
      </w:r>
      <w:r w:rsidR="00823FC7">
        <w:t xml:space="preserve">Estimou separadamente um </w:t>
      </w:r>
      <w:proofErr w:type="spellStart"/>
      <w:r w:rsidR="00823FC7" w:rsidRPr="00813C75">
        <w:rPr>
          <w:i/>
        </w:rPr>
        <w:t>catch-up</w:t>
      </w:r>
      <w:proofErr w:type="spellEnd"/>
      <w:r w:rsidR="00823FC7">
        <w:t xml:space="preserve"> de 0,68%, que é idiossincrático e relativo à companhia</w:t>
      </w:r>
      <w:r w:rsidR="00644412">
        <w:t>, refletindo a distância da empresa em relação a uma fronteira de eficiência. Este componente não será estimado neste primeiro ciclo tarifário, tendo em vista que a dinâmica de investimentos e a evolução proposta no ciclo tarifário já contempla ganhos de eficiência</w:t>
      </w:r>
      <w:r w:rsidR="00522EAE">
        <w:t>.</w:t>
      </w:r>
    </w:p>
    <w:p w:rsidR="00BA04AD" w:rsidRDefault="00BA04AD" w:rsidP="008D1097">
      <w:pPr>
        <w:spacing w:line="360" w:lineRule="auto"/>
        <w:jc w:val="center"/>
        <w:rPr>
          <w:b/>
        </w:rPr>
      </w:pPr>
    </w:p>
    <w:p w:rsidR="00BA04AD" w:rsidRDefault="00BA04AD" w:rsidP="008D1097">
      <w:pPr>
        <w:spacing w:line="360" w:lineRule="auto"/>
        <w:jc w:val="center"/>
        <w:rPr>
          <w:b/>
        </w:rPr>
      </w:pPr>
    </w:p>
    <w:p w:rsidR="008D1097" w:rsidRPr="008D1097" w:rsidRDefault="00C606B4" w:rsidP="008D1097">
      <w:pPr>
        <w:spacing w:line="360" w:lineRule="auto"/>
        <w:jc w:val="center"/>
        <w:rPr>
          <w:b/>
        </w:rPr>
      </w:pPr>
      <w:r>
        <w:rPr>
          <w:b/>
        </w:rPr>
        <w:lastRenderedPageBreak/>
        <w:t>Quadro 1</w:t>
      </w:r>
      <w:r w:rsidR="008D1097" w:rsidRPr="008D1097">
        <w:rPr>
          <w:b/>
        </w:rPr>
        <w:t xml:space="preserve"> </w:t>
      </w:r>
      <w:r w:rsidR="008D1097">
        <w:rPr>
          <w:b/>
        </w:rPr>
        <w:t>– Eficiência aplicada às despesas operacionais</w:t>
      </w:r>
    </w:p>
    <w:tbl>
      <w:tblPr>
        <w:tblStyle w:val="TabeladeGrade5Escura-nfase11"/>
        <w:tblW w:w="0" w:type="auto"/>
        <w:tblLook w:val="04A0"/>
      </w:tblPr>
      <w:tblGrid>
        <w:gridCol w:w="3681"/>
        <w:gridCol w:w="2690"/>
        <w:gridCol w:w="2690"/>
      </w:tblGrid>
      <w:tr w:rsidR="008D1097" w:rsidTr="008D1097">
        <w:trPr>
          <w:cnfStyle w:val="100000000000"/>
        </w:trPr>
        <w:tc>
          <w:tcPr>
            <w:cnfStyle w:val="001000000000"/>
            <w:tcW w:w="3681" w:type="dxa"/>
          </w:tcPr>
          <w:p w:rsidR="008D1097" w:rsidRDefault="008D1097" w:rsidP="003B5F38">
            <w:pPr>
              <w:spacing w:line="360" w:lineRule="auto"/>
              <w:jc w:val="both"/>
            </w:pPr>
          </w:p>
        </w:tc>
        <w:tc>
          <w:tcPr>
            <w:tcW w:w="2690" w:type="dxa"/>
          </w:tcPr>
          <w:p w:rsidR="008D1097" w:rsidRDefault="008D1097" w:rsidP="008D1097">
            <w:pPr>
              <w:spacing w:line="360" w:lineRule="auto"/>
              <w:jc w:val="center"/>
              <w:cnfStyle w:val="100000000000"/>
            </w:pPr>
            <w:r>
              <w:t>SABESP (ARSESP)</w:t>
            </w:r>
          </w:p>
        </w:tc>
        <w:tc>
          <w:tcPr>
            <w:tcW w:w="2690" w:type="dxa"/>
          </w:tcPr>
          <w:p w:rsidR="008D1097" w:rsidRDefault="008D1097" w:rsidP="008D1097">
            <w:pPr>
              <w:spacing w:line="360" w:lineRule="auto"/>
              <w:jc w:val="center"/>
              <w:cnfStyle w:val="100000000000"/>
            </w:pPr>
            <w:r>
              <w:t xml:space="preserve">Foz | </w:t>
            </w:r>
            <w:proofErr w:type="spellStart"/>
            <w:r>
              <w:t>Saneatins</w:t>
            </w:r>
            <w:proofErr w:type="spellEnd"/>
            <w:r>
              <w:t xml:space="preserve"> (ATR)</w:t>
            </w:r>
          </w:p>
        </w:tc>
      </w:tr>
      <w:tr w:rsidR="008D1097" w:rsidTr="008D1097">
        <w:trPr>
          <w:cnfStyle w:val="000000100000"/>
        </w:trPr>
        <w:tc>
          <w:tcPr>
            <w:cnfStyle w:val="001000000000"/>
            <w:tcW w:w="3681" w:type="dxa"/>
          </w:tcPr>
          <w:p w:rsidR="008D1097" w:rsidRDefault="008D1097" w:rsidP="003B5F38">
            <w:pPr>
              <w:spacing w:line="360" w:lineRule="auto"/>
              <w:jc w:val="both"/>
            </w:pPr>
            <w:r>
              <w:t>Mudança tecnológica</w:t>
            </w:r>
          </w:p>
        </w:tc>
        <w:tc>
          <w:tcPr>
            <w:tcW w:w="2690" w:type="dxa"/>
          </w:tcPr>
          <w:p w:rsidR="008D1097" w:rsidRDefault="008D1097" w:rsidP="008D1097">
            <w:pPr>
              <w:spacing w:line="360" w:lineRule="auto"/>
              <w:jc w:val="center"/>
              <w:cnfStyle w:val="000000100000"/>
            </w:pPr>
            <w:r>
              <w:t>2,00%</w:t>
            </w:r>
          </w:p>
        </w:tc>
        <w:tc>
          <w:tcPr>
            <w:tcW w:w="2690" w:type="dxa"/>
          </w:tcPr>
          <w:p w:rsidR="008D1097" w:rsidRDefault="008D1097" w:rsidP="008D1097">
            <w:pPr>
              <w:spacing w:line="360" w:lineRule="auto"/>
              <w:jc w:val="center"/>
              <w:cnfStyle w:val="000000100000"/>
            </w:pPr>
            <w:r>
              <w:t>2,00%</w:t>
            </w:r>
          </w:p>
        </w:tc>
      </w:tr>
      <w:tr w:rsidR="008D1097" w:rsidTr="008D1097">
        <w:tc>
          <w:tcPr>
            <w:cnfStyle w:val="001000000000"/>
            <w:tcW w:w="3681" w:type="dxa"/>
          </w:tcPr>
          <w:p w:rsidR="008D1097" w:rsidRPr="00823FC7" w:rsidRDefault="008D1097" w:rsidP="003B5F38">
            <w:pPr>
              <w:spacing w:line="360" w:lineRule="auto"/>
              <w:jc w:val="both"/>
              <w:rPr>
                <w:i/>
              </w:rPr>
            </w:pPr>
            <w:proofErr w:type="spellStart"/>
            <w:r w:rsidRPr="00823FC7">
              <w:rPr>
                <w:i/>
              </w:rPr>
              <w:t>Catch-up</w:t>
            </w:r>
            <w:proofErr w:type="spellEnd"/>
          </w:p>
        </w:tc>
        <w:tc>
          <w:tcPr>
            <w:tcW w:w="2690" w:type="dxa"/>
          </w:tcPr>
          <w:p w:rsidR="008D1097" w:rsidRDefault="008D1097" w:rsidP="008D1097">
            <w:pPr>
              <w:spacing w:line="360" w:lineRule="auto"/>
              <w:jc w:val="center"/>
              <w:cnfStyle w:val="000000000000"/>
            </w:pPr>
            <w:r>
              <w:t>0,68%</w:t>
            </w:r>
          </w:p>
        </w:tc>
        <w:tc>
          <w:tcPr>
            <w:tcW w:w="2690" w:type="dxa"/>
          </w:tcPr>
          <w:p w:rsidR="008D1097" w:rsidRDefault="008D1097" w:rsidP="008D1097">
            <w:pPr>
              <w:spacing w:line="360" w:lineRule="auto"/>
              <w:jc w:val="center"/>
              <w:cnfStyle w:val="000000000000"/>
            </w:pPr>
            <w:r>
              <w:t>0,00%</w:t>
            </w:r>
          </w:p>
        </w:tc>
      </w:tr>
      <w:tr w:rsidR="008D1097" w:rsidTr="008D1097">
        <w:trPr>
          <w:cnfStyle w:val="000000100000"/>
        </w:trPr>
        <w:tc>
          <w:tcPr>
            <w:cnfStyle w:val="001000000000"/>
            <w:tcW w:w="3681" w:type="dxa"/>
          </w:tcPr>
          <w:p w:rsidR="008D1097" w:rsidRDefault="008D1097" w:rsidP="003B5F38">
            <w:pPr>
              <w:spacing w:line="360" w:lineRule="auto"/>
              <w:jc w:val="both"/>
            </w:pPr>
            <w:r>
              <w:t>Eficiência em despesas</w:t>
            </w:r>
          </w:p>
        </w:tc>
        <w:tc>
          <w:tcPr>
            <w:tcW w:w="2690" w:type="dxa"/>
          </w:tcPr>
          <w:p w:rsidR="008D1097" w:rsidRDefault="008D1097" w:rsidP="008D1097">
            <w:pPr>
              <w:spacing w:line="360" w:lineRule="auto"/>
              <w:jc w:val="center"/>
              <w:cnfStyle w:val="000000100000"/>
            </w:pPr>
            <w:r>
              <w:t>2,68%</w:t>
            </w:r>
          </w:p>
        </w:tc>
        <w:tc>
          <w:tcPr>
            <w:tcW w:w="2690" w:type="dxa"/>
          </w:tcPr>
          <w:p w:rsidR="008D1097" w:rsidRDefault="008D1097" w:rsidP="008D1097">
            <w:pPr>
              <w:spacing w:line="360" w:lineRule="auto"/>
              <w:jc w:val="center"/>
              <w:cnfStyle w:val="000000100000"/>
            </w:pPr>
            <w:r>
              <w:t>2,00%</w:t>
            </w:r>
          </w:p>
        </w:tc>
      </w:tr>
    </w:tbl>
    <w:p w:rsidR="008D1097" w:rsidRDefault="008D1097" w:rsidP="003B5F38">
      <w:pPr>
        <w:spacing w:line="360" w:lineRule="auto"/>
        <w:jc w:val="both"/>
      </w:pPr>
      <w:r>
        <w:t>Fonte: ARSESP e elaboração própria</w:t>
      </w:r>
    </w:p>
    <w:p w:rsidR="007D40F7" w:rsidRDefault="007D40F7" w:rsidP="00B10AD6">
      <w:pPr>
        <w:spacing w:line="360" w:lineRule="auto"/>
        <w:jc w:val="both"/>
      </w:pPr>
    </w:p>
    <w:p w:rsidR="00B10AD6" w:rsidRDefault="008D1097" w:rsidP="00B10AD6">
      <w:pPr>
        <w:spacing w:line="360" w:lineRule="auto"/>
        <w:jc w:val="both"/>
      </w:pPr>
      <w:r>
        <w:t xml:space="preserve">Portanto, o ganho de eficiência </w:t>
      </w:r>
      <w:r w:rsidR="00B10AD6">
        <w:t>recomendado para a</w:t>
      </w:r>
      <w:r>
        <w:t xml:space="preserve"> </w:t>
      </w:r>
      <w:proofErr w:type="spellStart"/>
      <w:r>
        <w:t>Foz|Saneatins</w:t>
      </w:r>
      <w:proofErr w:type="spellEnd"/>
      <w:r>
        <w:t xml:space="preserve"> durante o ciclo tarifário é de </w:t>
      </w:r>
      <w:r w:rsidR="00B10AD6" w:rsidRPr="00B10AD6">
        <w:t>2</w:t>
      </w:r>
      <w:r w:rsidRPr="00B10AD6">
        <w:t>,00%</w:t>
      </w:r>
      <w:r>
        <w:t xml:space="preserve"> ao ano</w:t>
      </w:r>
      <w:r w:rsidR="00B10AD6">
        <w:t xml:space="preserve">. Contudo, recomenda-se a repartição deste ganho de produtividade em proporção igual entre a concessionária e o usuário do serviço de água e esgoto. </w:t>
      </w:r>
      <w:r w:rsidR="007D40F7">
        <w:t>Assim</w:t>
      </w:r>
      <w:r w:rsidR="00B10AD6">
        <w:t>, sobre o OPEX projetado para o período relativo ao ciclo tarifário em análise</w:t>
      </w:r>
      <w:r w:rsidR="007D40F7">
        <w:t>,</w:t>
      </w:r>
      <w:r w:rsidR="00B10AD6">
        <w:t xml:space="preserve"> será aplicada uma redução de 1% por ano.</w:t>
      </w:r>
    </w:p>
    <w:p w:rsidR="003B5F38" w:rsidRDefault="00BE0A68" w:rsidP="003B5F38">
      <w:pPr>
        <w:spacing w:line="360" w:lineRule="auto"/>
        <w:jc w:val="both"/>
      </w:pPr>
      <w:r>
        <w:t xml:space="preserve"> </w:t>
      </w:r>
    </w:p>
    <w:p w:rsidR="003B5F38" w:rsidRDefault="003B5F38" w:rsidP="003B5F38">
      <w:pPr>
        <w:pStyle w:val="Ttulo1"/>
        <w:numPr>
          <w:ilvl w:val="0"/>
          <w:numId w:val="15"/>
        </w:numPr>
        <w:spacing w:before="0" w:after="200" w:line="360" w:lineRule="auto"/>
        <w:ind w:left="357" w:hanging="357"/>
        <w:jc w:val="both"/>
      </w:pPr>
      <w:bookmarkStart w:id="11" w:name="_Toc377255003"/>
      <w:bookmarkStart w:id="12" w:name="_Toc378193737"/>
      <w:r>
        <w:t>Cálculo do custo de capital regulatório</w:t>
      </w:r>
      <w:bookmarkEnd w:id="11"/>
      <w:bookmarkEnd w:id="12"/>
    </w:p>
    <w:p w:rsidR="003B5F38" w:rsidRDefault="003B5F38" w:rsidP="003B5F38">
      <w:pPr>
        <w:spacing w:line="360" w:lineRule="auto"/>
        <w:jc w:val="both"/>
      </w:pPr>
      <w:r>
        <w:t xml:space="preserve">Em linhas gerais, a estrutura do WACC </w:t>
      </w:r>
      <w:r w:rsidR="00020B44">
        <w:t>regulatório foi desenvolvida conforme o diagrama abaixo, apresentado</w:t>
      </w:r>
      <w:r>
        <w:t xml:space="preserve"> no ET05:</w:t>
      </w:r>
    </w:p>
    <w:p w:rsidR="003B5F38" w:rsidRDefault="003B5F38" w:rsidP="003B5F38">
      <w:pPr>
        <w:spacing w:line="360" w:lineRule="auto"/>
        <w:jc w:val="center"/>
      </w:pPr>
      <w:r>
        <w:t xml:space="preserve">Figura </w:t>
      </w:r>
      <w:r w:rsidR="00C606B4">
        <w:t xml:space="preserve">1 </w:t>
      </w:r>
      <w:r>
        <w:t>– Estrutura do WACC</w:t>
      </w:r>
    </w:p>
    <w:p w:rsidR="003B5F38" w:rsidRDefault="003B5F38" w:rsidP="003B5F38">
      <w:pPr>
        <w:spacing w:line="360" w:lineRule="auto"/>
        <w:jc w:val="center"/>
      </w:pPr>
      <w:r w:rsidRPr="009837AD">
        <w:rPr>
          <w:noProof/>
          <w:lang w:eastAsia="pt-BR"/>
        </w:rPr>
        <w:drawing>
          <wp:inline distT="0" distB="0" distL="0" distR="0">
            <wp:extent cx="5400040" cy="3000022"/>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40" cy="3000022"/>
                    </a:xfrm>
                    <a:prstGeom prst="rect">
                      <a:avLst/>
                    </a:prstGeom>
                    <a:noFill/>
                    <a:ln>
                      <a:noFill/>
                    </a:ln>
                  </pic:spPr>
                </pic:pic>
              </a:graphicData>
            </a:graphic>
          </wp:inline>
        </w:drawing>
      </w:r>
    </w:p>
    <w:p w:rsidR="003B5F38" w:rsidRDefault="003B5F38" w:rsidP="003B5F38">
      <w:pPr>
        <w:spacing w:line="360" w:lineRule="auto"/>
        <w:jc w:val="both"/>
      </w:pPr>
      <w:r>
        <w:lastRenderedPageBreak/>
        <w:t>Fonte: ET05 – GO Associados</w:t>
      </w:r>
    </w:p>
    <w:p w:rsidR="00020B44" w:rsidRDefault="00020B44" w:rsidP="00020B44">
      <w:pPr>
        <w:spacing w:line="360" w:lineRule="auto"/>
        <w:jc w:val="both"/>
      </w:pPr>
      <w:r>
        <w:t>A metodologia geral proposta pela concessionária para o cálculo do custo de capital regulatório foi validada em termos gerais, considerando ter sido fortemente baseada em uma importante experiência prévia de revisão tarifária em saneamento, da ARSESP para a companhia SABESP. Apesar da validação geral da metodologia de cálculo do custo de capital, a ATR entendeu necessário realizar ajustes na sua implementação. Estes ajustes foram, relativamente ao ET05:</w:t>
      </w:r>
    </w:p>
    <w:p w:rsidR="00020B44" w:rsidRDefault="00020B44" w:rsidP="00020B44">
      <w:pPr>
        <w:pStyle w:val="PargrafodaLista"/>
        <w:numPr>
          <w:ilvl w:val="0"/>
          <w:numId w:val="18"/>
        </w:numPr>
        <w:spacing w:line="360" w:lineRule="auto"/>
        <w:jc w:val="both"/>
      </w:pPr>
      <w:r>
        <w:t xml:space="preserve">No cálculo dos prêmios no custo do capital de terceiros, o cálculo do custo médio de dívida da </w:t>
      </w:r>
      <w:proofErr w:type="spellStart"/>
      <w:r>
        <w:t>Foz|Saneatins</w:t>
      </w:r>
      <w:proofErr w:type="spellEnd"/>
      <w:r>
        <w:t xml:space="preserve"> obteve resultado semelhante ao do ET0 (12,29% contra 12,35%). A principal diferença diz respeito ao cálculo do prêmio sobre o risco, em que foi excluído o risco-país, presente no ET05. Para o cálculo do prêmio de risco da </w:t>
      </w:r>
      <w:proofErr w:type="spellStart"/>
      <w:r>
        <w:t>Foz|Saneatins</w:t>
      </w:r>
      <w:proofErr w:type="spellEnd"/>
      <w:r>
        <w:t xml:space="preserve"> foi tomado o custo médio ponderado de dívida, de 12,29% ao ano, descontando-se o CDI médio de 8,4%, obtendo-se um spread de 3,593%. Como este prêmio foi calculado sobre o CDI, foi acrescido do prêmio de risco-país. O ET05 propôs que o prêmio de risco seria de 8,910% e ainda haveria o acréscimo do prêmio de risco Brasil.</w:t>
      </w:r>
    </w:p>
    <w:p w:rsidR="00020B44" w:rsidRDefault="00020B44" w:rsidP="00020B44">
      <w:pPr>
        <w:pStyle w:val="PargrafodaLista"/>
        <w:numPr>
          <w:ilvl w:val="0"/>
          <w:numId w:val="18"/>
        </w:numPr>
        <w:spacing w:line="360" w:lineRule="auto"/>
        <w:jc w:val="both"/>
      </w:pPr>
      <w:r>
        <w:t>Quanto ao capital próprio, enquanto o ET05 propôs a utilização do beta da companhia SABESP, realizou-se uma revisão da amostra de betas, dentro do leque disponível de três companhias abertas de saneamento, lista</w:t>
      </w:r>
      <w:r w:rsidR="00BA04AD">
        <w:t>da</w:t>
      </w:r>
      <w:r>
        <w:t>s em bolsa, no mercado brasileiro, a saber: SABESP, COPASA e SANEPAR. As duas primeiras foram escolhidas por terem liquidez, cobertura de analistas e pela correlação com o IBOVESPA.</w:t>
      </w:r>
    </w:p>
    <w:p w:rsidR="00020B44" w:rsidRDefault="00020B44" w:rsidP="00020B44">
      <w:pPr>
        <w:pStyle w:val="PargrafodaLista"/>
        <w:numPr>
          <w:ilvl w:val="0"/>
          <w:numId w:val="18"/>
        </w:numPr>
        <w:spacing w:line="360" w:lineRule="auto"/>
        <w:jc w:val="both"/>
      </w:pPr>
      <w:r>
        <w:t>Considerando o contexto do Estado do Tocantins, que ainda exige pesados investimentos para a universalização do serviços de esgotos, o cálculo do custo de capital para fins regulatórios foi acrescido de um elemento idiossincrático de remuneração que reflete essa necessidade. O prêmio de risco do capital próprio foi considerado como duas vezes a diferença entre o prêmio de risco do capital de terceiros (3,593%) e o prêmio regulatório estabelecido para a Companhia SABESP no processo de revisão tarifária documentado pela ARSESP para o Estado de São Paulo (de 0,875%).</w:t>
      </w:r>
    </w:p>
    <w:p w:rsidR="00020B44" w:rsidRDefault="00020B44" w:rsidP="00020B44">
      <w:pPr>
        <w:spacing w:line="360" w:lineRule="auto"/>
        <w:jc w:val="both"/>
      </w:pPr>
      <w:r>
        <w:t xml:space="preserve">O custo de capital regulatório (WACC) solicitado pela concessionária, conforme apresentado em seu ET05, foi de 10,19%. Em função das modificações apresentadas nesta Nota Técnica, a ATR, apesar de validar a metodologia geral de cálculo do custo de capital, revisou o cálculo de alguns itens e, em função disto, calculou um custo de capital regulatório de </w:t>
      </w:r>
      <w:r w:rsidRPr="00500509">
        <w:rPr>
          <w:b/>
        </w:rPr>
        <w:t>8,06%</w:t>
      </w:r>
      <w:r w:rsidRPr="003A2AA3">
        <w:t xml:space="preserve">, reduzindo </w:t>
      </w:r>
      <w:r>
        <w:t xml:space="preserve">o parâmetro pleiteado </w:t>
      </w:r>
      <w:r>
        <w:lastRenderedPageBreak/>
        <w:t>pelo concessionário em 213 pontos-base. O Quadro a seguir apresenta uma comparação entre os componentes do WACC propostos no ET05 e o valor final que a ATR definiu para fins regulatórios.</w:t>
      </w:r>
    </w:p>
    <w:p w:rsidR="00020B44" w:rsidRDefault="00020B44" w:rsidP="00020B44">
      <w:pPr>
        <w:spacing w:line="360" w:lineRule="auto"/>
        <w:jc w:val="center"/>
      </w:pPr>
    </w:p>
    <w:p w:rsidR="00020B44" w:rsidRDefault="00020B44" w:rsidP="00020B44">
      <w:pPr>
        <w:spacing w:line="360" w:lineRule="auto"/>
        <w:jc w:val="center"/>
      </w:pPr>
      <w:r>
        <w:t>Quadro</w:t>
      </w:r>
      <w:r w:rsidR="00C606B4">
        <w:t xml:space="preserve"> 2</w:t>
      </w:r>
      <w:r>
        <w:t xml:space="preserve"> – Custo Médio Ponderado de Capital (Proposto e Regulatório)</w:t>
      </w:r>
    </w:p>
    <w:tbl>
      <w:tblPr>
        <w:tblW w:w="8704" w:type="dxa"/>
        <w:tblInd w:w="70" w:type="dxa"/>
        <w:tblLayout w:type="fixed"/>
        <w:tblCellMar>
          <w:left w:w="70" w:type="dxa"/>
          <w:right w:w="70" w:type="dxa"/>
        </w:tblCellMar>
        <w:tblLook w:val="04A0"/>
      </w:tblPr>
      <w:tblGrid>
        <w:gridCol w:w="3516"/>
        <w:gridCol w:w="1162"/>
        <w:gridCol w:w="2013"/>
        <w:gridCol w:w="2013"/>
      </w:tblGrid>
      <w:tr w:rsidR="00020B44" w:rsidRPr="005A1263" w:rsidTr="00A83BD8">
        <w:trPr>
          <w:trHeight w:val="315"/>
        </w:trPr>
        <w:tc>
          <w:tcPr>
            <w:tcW w:w="3516"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ascii="Times New Roman" w:eastAsia="Times New Roman" w:hAnsi="Times New Roman"/>
                <w:sz w:val="24"/>
                <w:szCs w:val="24"/>
                <w:lang w:eastAsia="pt-BR"/>
              </w:rPr>
            </w:pPr>
          </w:p>
        </w:tc>
        <w:tc>
          <w:tcPr>
            <w:tcW w:w="1162"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ascii="Times New Roman" w:eastAsia="Times New Roman" w:hAnsi="Times New Roman"/>
                <w:sz w:val="20"/>
                <w:szCs w:val="20"/>
                <w:lang w:eastAsia="pt-BR"/>
              </w:rPr>
            </w:pPr>
          </w:p>
        </w:tc>
        <w:tc>
          <w:tcPr>
            <w:tcW w:w="2013" w:type="dxa"/>
            <w:tcBorders>
              <w:top w:val="nil"/>
              <w:left w:val="nil"/>
              <w:bottom w:val="nil"/>
              <w:right w:val="nil"/>
            </w:tcBorders>
            <w:shd w:val="clear" w:color="auto" w:fill="auto"/>
            <w:noWrap/>
            <w:vAlign w:val="bottom"/>
            <w:hideMark/>
          </w:tcPr>
          <w:p w:rsidR="00020B44" w:rsidRDefault="00020B44" w:rsidP="00A83BD8">
            <w:pPr>
              <w:spacing w:after="0" w:line="240" w:lineRule="auto"/>
              <w:jc w:val="center"/>
              <w:rPr>
                <w:rFonts w:eastAsia="Times New Roman"/>
                <w:b/>
                <w:color w:val="000000"/>
                <w:lang w:eastAsia="pt-BR"/>
              </w:rPr>
            </w:pPr>
            <w:r w:rsidRPr="005A1263">
              <w:rPr>
                <w:rFonts w:eastAsia="Times New Roman"/>
                <w:b/>
                <w:color w:val="000000"/>
                <w:lang w:eastAsia="pt-BR"/>
              </w:rPr>
              <w:t xml:space="preserve">ET05 </w:t>
            </w:r>
            <w:r>
              <w:rPr>
                <w:rFonts w:eastAsia="Times New Roman"/>
                <w:b/>
                <w:color w:val="000000"/>
                <w:lang w:eastAsia="pt-BR"/>
              </w:rPr>
              <w:t xml:space="preserve">    </w:t>
            </w:r>
          </w:p>
          <w:p w:rsidR="00020B44" w:rsidRPr="005A1263" w:rsidRDefault="00020B44" w:rsidP="00A83BD8">
            <w:pPr>
              <w:spacing w:after="0" w:line="240" w:lineRule="auto"/>
              <w:jc w:val="center"/>
              <w:rPr>
                <w:rFonts w:eastAsia="Times New Roman"/>
                <w:b/>
                <w:color w:val="000000"/>
                <w:lang w:eastAsia="pt-BR"/>
              </w:rPr>
            </w:pPr>
            <w:r w:rsidRPr="005A1263">
              <w:rPr>
                <w:rFonts w:eastAsia="Times New Roman"/>
                <w:b/>
                <w:color w:val="000000"/>
                <w:lang w:eastAsia="pt-BR"/>
              </w:rPr>
              <w:t>(proposta)</w:t>
            </w:r>
          </w:p>
        </w:tc>
        <w:tc>
          <w:tcPr>
            <w:tcW w:w="2013" w:type="dxa"/>
            <w:tcBorders>
              <w:top w:val="nil"/>
              <w:left w:val="nil"/>
              <w:bottom w:val="nil"/>
              <w:right w:val="nil"/>
            </w:tcBorders>
            <w:shd w:val="clear" w:color="auto" w:fill="auto"/>
            <w:noWrap/>
            <w:vAlign w:val="bottom"/>
            <w:hideMark/>
          </w:tcPr>
          <w:p w:rsidR="00020B44" w:rsidRDefault="00020B44" w:rsidP="00A83BD8">
            <w:pPr>
              <w:spacing w:after="0" w:line="240" w:lineRule="auto"/>
              <w:jc w:val="center"/>
              <w:rPr>
                <w:rFonts w:eastAsia="Times New Roman"/>
                <w:b/>
                <w:color w:val="000000"/>
                <w:lang w:eastAsia="pt-BR"/>
              </w:rPr>
            </w:pPr>
            <w:r>
              <w:rPr>
                <w:rFonts w:eastAsia="Times New Roman"/>
                <w:b/>
                <w:color w:val="000000"/>
                <w:lang w:eastAsia="pt-BR"/>
              </w:rPr>
              <w:t>NT3</w:t>
            </w:r>
            <w:r w:rsidRPr="005A1263">
              <w:rPr>
                <w:rFonts w:eastAsia="Times New Roman"/>
                <w:b/>
                <w:color w:val="000000"/>
                <w:lang w:eastAsia="pt-BR"/>
              </w:rPr>
              <w:t xml:space="preserve"> </w:t>
            </w:r>
          </w:p>
          <w:p w:rsidR="00020B44" w:rsidRPr="005A1263" w:rsidRDefault="00020B44" w:rsidP="00A83BD8">
            <w:pPr>
              <w:spacing w:after="0" w:line="240" w:lineRule="auto"/>
              <w:jc w:val="center"/>
              <w:rPr>
                <w:rFonts w:eastAsia="Times New Roman"/>
                <w:b/>
                <w:color w:val="000000"/>
                <w:lang w:eastAsia="pt-BR"/>
              </w:rPr>
            </w:pPr>
            <w:r w:rsidRPr="005A1263">
              <w:rPr>
                <w:rFonts w:eastAsia="Times New Roman"/>
                <w:b/>
                <w:color w:val="000000"/>
                <w:lang w:eastAsia="pt-BR"/>
              </w:rPr>
              <w:t>(regulatório)</w:t>
            </w:r>
          </w:p>
        </w:tc>
      </w:tr>
      <w:tr w:rsidR="00020B44" w:rsidRPr="005A1263" w:rsidTr="00A83BD8">
        <w:trPr>
          <w:trHeight w:val="137"/>
        </w:trPr>
        <w:tc>
          <w:tcPr>
            <w:tcW w:w="3516" w:type="dxa"/>
            <w:tcBorders>
              <w:top w:val="nil"/>
              <w:left w:val="nil"/>
              <w:bottom w:val="nil"/>
              <w:right w:val="nil"/>
            </w:tcBorders>
            <w:shd w:val="clear" w:color="auto" w:fill="C6D9F1" w:themeFill="text2" w:themeFillTint="33"/>
            <w:noWrap/>
            <w:vAlign w:val="bottom"/>
            <w:hideMark/>
          </w:tcPr>
          <w:p w:rsidR="00020B44" w:rsidRPr="005A1263" w:rsidRDefault="00020B44" w:rsidP="00A83BD8">
            <w:pPr>
              <w:spacing w:after="0" w:line="240" w:lineRule="auto"/>
              <w:jc w:val="center"/>
              <w:rPr>
                <w:rFonts w:eastAsia="Times New Roman"/>
                <w:color w:val="000000"/>
                <w:sz w:val="8"/>
                <w:szCs w:val="8"/>
                <w:lang w:eastAsia="pt-BR"/>
              </w:rPr>
            </w:pPr>
          </w:p>
        </w:tc>
        <w:tc>
          <w:tcPr>
            <w:tcW w:w="1162" w:type="dxa"/>
            <w:tcBorders>
              <w:top w:val="nil"/>
              <w:left w:val="nil"/>
              <w:bottom w:val="nil"/>
              <w:right w:val="nil"/>
            </w:tcBorders>
            <w:shd w:val="clear" w:color="auto" w:fill="C6D9F1" w:themeFill="text2" w:themeFillTint="33"/>
            <w:noWrap/>
            <w:vAlign w:val="bottom"/>
            <w:hideMark/>
          </w:tcPr>
          <w:p w:rsidR="00020B44" w:rsidRPr="005A1263" w:rsidRDefault="00020B44" w:rsidP="00A83BD8">
            <w:pPr>
              <w:spacing w:after="0" w:line="240" w:lineRule="auto"/>
              <w:rPr>
                <w:rFonts w:ascii="Times New Roman" w:eastAsia="Times New Roman" w:hAnsi="Times New Roman"/>
                <w:sz w:val="8"/>
                <w:szCs w:val="8"/>
                <w:lang w:eastAsia="pt-BR"/>
              </w:rPr>
            </w:pPr>
          </w:p>
        </w:tc>
        <w:tc>
          <w:tcPr>
            <w:tcW w:w="2013" w:type="dxa"/>
            <w:tcBorders>
              <w:top w:val="nil"/>
              <w:left w:val="nil"/>
              <w:bottom w:val="nil"/>
              <w:right w:val="nil"/>
            </w:tcBorders>
            <w:shd w:val="clear" w:color="auto" w:fill="C6D9F1" w:themeFill="text2" w:themeFillTint="33"/>
            <w:noWrap/>
            <w:vAlign w:val="bottom"/>
            <w:hideMark/>
          </w:tcPr>
          <w:p w:rsidR="00020B44" w:rsidRPr="005A1263" w:rsidRDefault="00020B44" w:rsidP="00A83BD8">
            <w:pPr>
              <w:spacing w:after="0" w:line="240" w:lineRule="auto"/>
              <w:rPr>
                <w:rFonts w:ascii="Times New Roman" w:eastAsia="Times New Roman" w:hAnsi="Times New Roman"/>
                <w:sz w:val="8"/>
                <w:szCs w:val="8"/>
                <w:lang w:eastAsia="pt-BR"/>
              </w:rPr>
            </w:pPr>
          </w:p>
        </w:tc>
        <w:tc>
          <w:tcPr>
            <w:tcW w:w="2013" w:type="dxa"/>
            <w:tcBorders>
              <w:top w:val="nil"/>
              <w:left w:val="nil"/>
              <w:bottom w:val="nil"/>
              <w:right w:val="nil"/>
            </w:tcBorders>
            <w:shd w:val="clear" w:color="auto" w:fill="C6D9F1" w:themeFill="text2" w:themeFillTint="33"/>
            <w:noWrap/>
            <w:vAlign w:val="bottom"/>
            <w:hideMark/>
          </w:tcPr>
          <w:p w:rsidR="00020B44" w:rsidRPr="005A1263" w:rsidRDefault="00020B44" w:rsidP="00A83BD8">
            <w:pPr>
              <w:spacing w:after="0" w:line="240" w:lineRule="auto"/>
              <w:jc w:val="center"/>
              <w:rPr>
                <w:rFonts w:ascii="Times New Roman" w:eastAsia="Times New Roman" w:hAnsi="Times New Roman"/>
                <w:sz w:val="8"/>
                <w:szCs w:val="8"/>
                <w:lang w:eastAsia="pt-BR"/>
              </w:rPr>
            </w:pPr>
          </w:p>
        </w:tc>
      </w:tr>
      <w:tr w:rsidR="00020B44" w:rsidRPr="005A1263" w:rsidTr="00A83BD8">
        <w:trPr>
          <w:trHeight w:val="300"/>
        </w:trPr>
        <w:tc>
          <w:tcPr>
            <w:tcW w:w="3516"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eastAsia="Times New Roman"/>
                <w:b/>
                <w:color w:val="000000"/>
                <w:lang w:eastAsia="pt-BR"/>
              </w:rPr>
            </w:pPr>
            <w:r w:rsidRPr="005A1263">
              <w:rPr>
                <w:rFonts w:eastAsia="Times New Roman"/>
                <w:b/>
                <w:color w:val="000000"/>
                <w:lang w:eastAsia="pt-BR"/>
              </w:rPr>
              <w:t>Estrutura de capital</w:t>
            </w:r>
          </w:p>
        </w:tc>
        <w:tc>
          <w:tcPr>
            <w:tcW w:w="1162"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eastAsia="Times New Roman"/>
                <w:color w:val="000000"/>
                <w:lang w:eastAsia="pt-BR"/>
              </w:rPr>
            </w:pP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ascii="Times New Roman" w:eastAsia="Times New Roman" w:hAnsi="Times New Roman"/>
                <w:sz w:val="20"/>
                <w:szCs w:val="20"/>
                <w:lang w:eastAsia="pt-BR"/>
              </w:rPr>
            </w:pP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ascii="Times New Roman" w:eastAsia="Times New Roman" w:hAnsi="Times New Roman"/>
                <w:sz w:val="20"/>
                <w:szCs w:val="20"/>
                <w:lang w:eastAsia="pt-BR"/>
              </w:rPr>
            </w:pPr>
          </w:p>
        </w:tc>
      </w:tr>
      <w:tr w:rsidR="00020B44" w:rsidRPr="005A1263" w:rsidTr="00A83BD8">
        <w:trPr>
          <w:trHeight w:val="300"/>
        </w:trPr>
        <w:tc>
          <w:tcPr>
            <w:tcW w:w="3516"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eastAsia="Times New Roman"/>
                <w:color w:val="000000"/>
                <w:lang w:eastAsia="pt-BR"/>
              </w:rPr>
            </w:pPr>
            <w:r w:rsidRPr="005A1263">
              <w:rPr>
                <w:rFonts w:eastAsia="Times New Roman"/>
                <w:color w:val="000000"/>
                <w:lang w:eastAsia="pt-BR"/>
              </w:rPr>
              <w:t xml:space="preserve">   Peso do capital próprio</w:t>
            </w:r>
          </w:p>
        </w:tc>
        <w:tc>
          <w:tcPr>
            <w:tcW w:w="1162"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eastAsia="Times New Roman"/>
                <w:b/>
                <w:bCs/>
                <w:color w:val="000000"/>
                <w:lang w:eastAsia="pt-BR"/>
              </w:rPr>
            </w:pPr>
            <w:proofErr w:type="spellStart"/>
            <w:r w:rsidRPr="005A1263">
              <w:rPr>
                <w:rFonts w:eastAsia="Times New Roman"/>
                <w:b/>
                <w:bCs/>
                <w:color w:val="000000"/>
                <w:lang w:eastAsia="pt-BR"/>
              </w:rPr>
              <w:t>We</w:t>
            </w:r>
            <w:proofErr w:type="spellEnd"/>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eastAsia="Times New Roman"/>
                <w:color w:val="000000"/>
                <w:lang w:eastAsia="pt-BR"/>
              </w:rPr>
            </w:pPr>
            <w:r w:rsidRPr="005A1263">
              <w:rPr>
                <w:rFonts w:eastAsia="Times New Roman"/>
                <w:color w:val="000000"/>
                <w:lang w:eastAsia="pt-BR"/>
              </w:rPr>
              <w:t>46,0%</w:t>
            </w: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eastAsia="Times New Roman"/>
                <w:color w:val="000000"/>
                <w:lang w:eastAsia="pt-BR"/>
              </w:rPr>
            </w:pPr>
            <w:r w:rsidRPr="005A1263">
              <w:rPr>
                <w:rFonts w:eastAsia="Times New Roman"/>
                <w:color w:val="000000"/>
                <w:lang w:eastAsia="pt-BR"/>
              </w:rPr>
              <w:t>46,0%</w:t>
            </w:r>
          </w:p>
        </w:tc>
      </w:tr>
      <w:tr w:rsidR="00020B44" w:rsidRPr="005A1263" w:rsidTr="00A83BD8">
        <w:trPr>
          <w:trHeight w:val="300"/>
        </w:trPr>
        <w:tc>
          <w:tcPr>
            <w:tcW w:w="3516"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eastAsia="Times New Roman"/>
                <w:color w:val="000000"/>
                <w:lang w:eastAsia="pt-BR"/>
              </w:rPr>
            </w:pPr>
            <w:r w:rsidRPr="005A1263">
              <w:rPr>
                <w:rFonts w:eastAsia="Times New Roman"/>
                <w:color w:val="000000"/>
                <w:lang w:eastAsia="pt-BR"/>
              </w:rPr>
              <w:t xml:space="preserve">   Peso do capital de terceiros</w:t>
            </w:r>
          </w:p>
        </w:tc>
        <w:tc>
          <w:tcPr>
            <w:tcW w:w="1162"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eastAsia="Times New Roman"/>
                <w:b/>
                <w:bCs/>
                <w:color w:val="000000"/>
                <w:lang w:eastAsia="pt-BR"/>
              </w:rPr>
            </w:pPr>
            <w:proofErr w:type="spellStart"/>
            <w:r w:rsidRPr="005A1263">
              <w:rPr>
                <w:rFonts w:eastAsia="Times New Roman"/>
                <w:b/>
                <w:bCs/>
                <w:color w:val="000000"/>
                <w:lang w:eastAsia="pt-BR"/>
              </w:rPr>
              <w:t>Wd</w:t>
            </w:r>
            <w:proofErr w:type="spellEnd"/>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eastAsia="Times New Roman"/>
                <w:color w:val="000000"/>
                <w:lang w:eastAsia="pt-BR"/>
              </w:rPr>
            </w:pPr>
            <w:r w:rsidRPr="005A1263">
              <w:rPr>
                <w:rFonts w:eastAsia="Times New Roman"/>
                <w:color w:val="000000"/>
                <w:lang w:eastAsia="pt-BR"/>
              </w:rPr>
              <w:t>54,0%</w:t>
            </w: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eastAsia="Times New Roman"/>
                <w:color w:val="000000"/>
                <w:lang w:eastAsia="pt-BR"/>
              </w:rPr>
            </w:pPr>
            <w:r w:rsidRPr="005A1263">
              <w:rPr>
                <w:rFonts w:eastAsia="Times New Roman"/>
                <w:color w:val="000000"/>
                <w:lang w:eastAsia="pt-BR"/>
              </w:rPr>
              <w:t>54,0%</w:t>
            </w:r>
          </w:p>
        </w:tc>
      </w:tr>
      <w:tr w:rsidR="00020B44" w:rsidRPr="005A1263" w:rsidTr="00A83BD8">
        <w:trPr>
          <w:trHeight w:val="300"/>
        </w:trPr>
        <w:tc>
          <w:tcPr>
            <w:tcW w:w="3516"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eastAsia="Times New Roman"/>
                <w:color w:val="000000"/>
                <w:lang w:eastAsia="pt-BR"/>
              </w:rPr>
            </w:pPr>
          </w:p>
        </w:tc>
        <w:tc>
          <w:tcPr>
            <w:tcW w:w="1162"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ascii="Times New Roman" w:eastAsia="Times New Roman" w:hAnsi="Times New Roman"/>
                <w:sz w:val="20"/>
                <w:szCs w:val="20"/>
                <w:lang w:eastAsia="pt-BR"/>
              </w:rPr>
            </w:pP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ascii="Times New Roman" w:eastAsia="Times New Roman" w:hAnsi="Times New Roman"/>
                <w:sz w:val="20"/>
                <w:szCs w:val="20"/>
                <w:lang w:eastAsia="pt-BR"/>
              </w:rPr>
            </w:pP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ascii="Times New Roman" w:eastAsia="Times New Roman" w:hAnsi="Times New Roman"/>
                <w:sz w:val="20"/>
                <w:szCs w:val="20"/>
                <w:lang w:eastAsia="pt-BR"/>
              </w:rPr>
            </w:pPr>
          </w:p>
        </w:tc>
      </w:tr>
      <w:tr w:rsidR="00020B44" w:rsidRPr="005A1263" w:rsidTr="00A83BD8">
        <w:trPr>
          <w:trHeight w:val="300"/>
        </w:trPr>
        <w:tc>
          <w:tcPr>
            <w:tcW w:w="3516"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eastAsia="Times New Roman"/>
                <w:b/>
                <w:bCs/>
                <w:color w:val="000000"/>
                <w:lang w:eastAsia="pt-BR"/>
              </w:rPr>
            </w:pPr>
            <w:r w:rsidRPr="005A1263">
              <w:rPr>
                <w:rFonts w:eastAsia="Times New Roman"/>
                <w:b/>
                <w:bCs/>
                <w:color w:val="000000"/>
                <w:lang w:eastAsia="pt-BR"/>
              </w:rPr>
              <w:t>Custo do capital de terceiros</w:t>
            </w:r>
          </w:p>
        </w:tc>
        <w:tc>
          <w:tcPr>
            <w:tcW w:w="1162"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eastAsia="Times New Roman"/>
                <w:b/>
                <w:bCs/>
                <w:color w:val="000000"/>
                <w:lang w:eastAsia="pt-BR"/>
              </w:rPr>
            </w:pP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ascii="Times New Roman" w:eastAsia="Times New Roman" w:hAnsi="Times New Roman"/>
                <w:sz w:val="20"/>
                <w:szCs w:val="20"/>
                <w:lang w:eastAsia="pt-BR"/>
              </w:rPr>
            </w:pP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ascii="Times New Roman" w:eastAsia="Times New Roman" w:hAnsi="Times New Roman"/>
                <w:sz w:val="20"/>
                <w:szCs w:val="20"/>
                <w:lang w:eastAsia="pt-BR"/>
              </w:rPr>
            </w:pPr>
          </w:p>
        </w:tc>
      </w:tr>
      <w:tr w:rsidR="00020B44" w:rsidRPr="005A1263" w:rsidTr="00A83BD8">
        <w:trPr>
          <w:trHeight w:val="300"/>
        </w:trPr>
        <w:tc>
          <w:tcPr>
            <w:tcW w:w="3516"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eastAsia="Times New Roman"/>
                <w:color w:val="000000"/>
                <w:lang w:eastAsia="pt-BR"/>
              </w:rPr>
            </w:pPr>
            <w:r w:rsidRPr="005A1263">
              <w:rPr>
                <w:rFonts w:eastAsia="Times New Roman"/>
                <w:color w:val="000000"/>
                <w:lang w:eastAsia="pt-BR"/>
              </w:rPr>
              <w:t>Taxa livre de Risco EUA</w:t>
            </w:r>
          </w:p>
        </w:tc>
        <w:tc>
          <w:tcPr>
            <w:tcW w:w="1162"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eastAsia="Times New Roman"/>
                <w:b/>
                <w:bCs/>
                <w:color w:val="000000"/>
                <w:lang w:eastAsia="pt-BR"/>
              </w:rPr>
            </w:pPr>
            <w:proofErr w:type="spellStart"/>
            <w:r w:rsidRPr="005A1263">
              <w:rPr>
                <w:rFonts w:eastAsia="Times New Roman"/>
                <w:b/>
                <w:bCs/>
                <w:color w:val="000000"/>
                <w:lang w:eastAsia="pt-BR"/>
              </w:rPr>
              <w:t>Rf</w:t>
            </w:r>
            <w:proofErr w:type="spellEnd"/>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eastAsia="Times New Roman"/>
                <w:color w:val="000000"/>
                <w:lang w:eastAsia="pt-BR"/>
              </w:rPr>
            </w:pPr>
            <w:r w:rsidRPr="005A1263">
              <w:rPr>
                <w:rFonts w:eastAsia="Times New Roman"/>
                <w:color w:val="000000"/>
                <w:lang w:eastAsia="pt-BR"/>
              </w:rPr>
              <w:t>3,44%</w:t>
            </w: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eastAsia="Times New Roman"/>
                <w:color w:val="000000"/>
                <w:lang w:eastAsia="pt-BR"/>
              </w:rPr>
            </w:pPr>
            <w:r w:rsidRPr="005A1263">
              <w:rPr>
                <w:rFonts w:eastAsia="Times New Roman"/>
                <w:color w:val="000000"/>
                <w:lang w:eastAsia="pt-BR"/>
              </w:rPr>
              <w:t>3,44%</w:t>
            </w:r>
          </w:p>
        </w:tc>
      </w:tr>
      <w:tr w:rsidR="00020B44" w:rsidRPr="005A1263" w:rsidTr="00A83BD8">
        <w:trPr>
          <w:trHeight w:val="300"/>
        </w:trPr>
        <w:tc>
          <w:tcPr>
            <w:tcW w:w="3516"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eastAsia="Times New Roman"/>
                <w:color w:val="000000"/>
                <w:lang w:eastAsia="pt-BR"/>
              </w:rPr>
            </w:pPr>
            <w:r w:rsidRPr="005A1263">
              <w:rPr>
                <w:rFonts w:eastAsia="Times New Roman"/>
                <w:color w:val="000000"/>
                <w:lang w:eastAsia="pt-BR"/>
              </w:rPr>
              <w:t>Risco Brasil</w:t>
            </w:r>
          </w:p>
        </w:tc>
        <w:tc>
          <w:tcPr>
            <w:tcW w:w="1162"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eastAsia="Times New Roman"/>
                <w:b/>
                <w:bCs/>
                <w:color w:val="000000"/>
                <w:lang w:eastAsia="pt-BR"/>
              </w:rPr>
            </w:pPr>
            <w:r w:rsidRPr="005A1263">
              <w:rPr>
                <w:rFonts w:eastAsia="Times New Roman"/>
                <w:b/>
                <w:bCs/>
                <w:color w:val="000000"/>
                <w:lang w:eastAsia="pt-BR"/>
              </w:rPr>
              <w:t>EMBI</w:t>
            </w: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eastAsia="Times New Roman"/>
                <w:color w:val="000000"/>
                <w:lang w:eastAsia="pt-BR"/>
              </w:rPr>
            </w:pPr>
            <w:r w:rsidRPr="005A1263">
              <w:rPr>
                <w:rFonts w:eastAsia="Times New Roman"/>
                <w:color w:val="000000"/>
                <w:lang w:eastAsia="pt-BR"/>
              </w:rPr>
              <w:t>1,98%</w:t>
            </w: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eastAsia="Times New Roman"/>
                <w:color w:val="000000"/>
                <w:lang w:eastAsia="pt-BR"/>
              </w:rPr>
            </w:pPr>
            <w:r w:rsidRPr="005A1263">
              <w:rPr>
                <w:rFonts w:eastAsia="Times New Roman"/>
                <w:color w:val="000000"/>
                <w:lang w:eastAsia="pt-BR"/>
              </w:rPr>
              <w:t>1,98%</w:t>
            </w:r>
          </w:p>
        </w:tc>
      </w:tr>
      <w:tr w:rsidR="00020B44" w:rsidRPr="005A1263" w:rsidTr="00A83BD8">
        <w:trPr>
          <w:trHeight w:val="300"/>
        </w:trPr>
        <w:tc>
          <w:tcPr>
            <w:tcW w:w="3516"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eastAsia="Times New Roman"/>
                <w:color w:val="000000"/>
                <w:lang w:eastAsia="pt-BR"/>
              </w:rPr>
            </w:pPr>
            <w:r>
              <w:rPr>
                <w:rFonts w:eastAsia="Times New Roman"/>
                <w:color w:val="000000"/>
                <w:lang w:eastAsia="pt-BR"/>
              </w:rPr>
              <w:t xml:space="preserve">SPREAD de Risco da </w:t>
            </w:r>
            <w:proofErr w:type="spellStart"/>
            <w:r>
              <w:rPr>
                <w:rFonts w:eastAsia="Times New Roman"/>
                <w:color w:val="000000"/>
                <w:lang w:eastAsia="pt-BR"/>
              </w:rPr>
              <w:t>Foz|</w:t>
            </w:r>
            <w:r w:rsidRPr="005A1263">
              <w:rPr>
                <w:rFonts w:eastAsia="Times New Roman"/>
                <w:color w:val="000000"/>
                <w:lang w:eastAsia="pt-BR"/>
              </w:rPr>
              <w:t>Saneatins</w:t>
            </w:r>
            <w:proofErr w:type="spellEnd"/>
          </w:p>
        </w:tc>
        <w:tc>
          <w:tcPr>
            <w:tcW w:w="1162"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eastAsia="Times New Roman"/>
                <w:b/>
                <w:bCs/>
                <w:color w:val="000000"/>
                <w:lang w:eastAsia="pt-BR"/>
              </w:rPr>
            </w:pPr>
            <w:r>
              <w:rPr>
                <w:rFonts w:eastAsia="Times New Roman"/>
                <w:b/>
                <w:bCs/>
                <w:color w:val="000000"/>
                <w:lang w:eastAsia="pt-BR"/>
              </w:rPr>
              <w:t>Spread</w:t>
            </w: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eastAsia="Times New Roman"/>
                <w:color w:val="000000"/>
                <w:lang w:eastAsia="pt-BR"/>
              </w:rPr>
            </w:pPr>
            <w:r w:rsidRPr="005A1263">
              <w:rPr>
                <w:rFonts w:eastAsia="Times New Roman"/>
                <w:color w:val="000000"/>
                <w:lang w:eastAsia="pt-BR"/>
              </w:rPr>
              <w:t>8,910%</w:t>
            </w: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eastAsia="Times New Roman"/>
                <w:color w:val="000000"/>
                <w:lang w:eastAsia="pt-BR"/>
              </w:rPr>
            </w:pPr>
            <w:r w:rsidRPr="005A1263">
              <w:rPr>
                <w:rFonts w:eastAsia="Times New Roman"/>
                <w:color w:val="000000"/>
                <w:lang w:eastAsia="pt-BR"/>
              </w:rPr>
              <w:t>3,593%</w:t>
            </w:r>
          </w:p>
        </w:tc>
      </w:tr>
      <w:tr w:rsidR="00020B44" w:rsidRPr="005A1263" w:rsidTr="00A83BD8">
        <w:trPr>
          <w:trHeight w:val="300"/>
        </w:trPr>
        <w:tc>
          <w:tcPr>
            <w:tcW w:w="3516"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eastAsia="Times New Roman"/>
                <w:color w:val="000000"/>
                <w:lang w:eastAsia="pt-BR"/>
              </w:rPr>
            </w:pPr>
            <w:r w:rsidRPr="005A1263">
              <w:rPr>
                <w:rFonts w:eastAsia="Times New Roman"/>
                <w:color w:val="000000"/>
                <w:lang w:eastAsia="pt-BR"/>
              </w:rPr>
              <w:t xml:space="preserve">Custo Nominal de </w:t>
            </w:r>
            <w:proofErr w:type="spellStart"/>
            <w:r w:rsidRPr="005A1263">
              <w:rPr>
                <w:rFonts w:eastAsia="Times New Roman"/>
                <w:color w:val="000000"/>
                <w:lang w:eastAsia="pt-BR"/>
              </w:rPr>
              <w:t>Cap</w:t>
            </w:r>
            <w:proofErr w:type="spellEnd"/>
            <w:r w:rsidRPr="005A1263">
              <w:rPr>
                <w:rFonts w:eastAsia="Times New Roman"/>
                <w:color w:val="000000"/>
                <w:lang w:eastAsia="pt-BR"/>
              </w:rPr>
              <w:t xml:space="preserve"> 3os (em USD)</w:t>
            </w:r>
          </w:p>
        </w:tc>
        <w:tc>
          <w:tcPr>
            <w:tcW w:w="1162"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eastAsia="Times New Roman"/>
                <w:b/>
                <w:bCs/>
                <w:color w:val="000000"/>
                <w:lang w:eastAsia="pt-BR"/>
              </w:rPr>
            </w:pPr>
            <w:r w:rsidRPr="005A1263">
              <w:rPr>
                <w:rFonts w:eastAsia="Times New Roman"/>
                <w:b/>
                <w:bCs/>
                <w:color w:val="000000"/>
                <w:lang w:eastAsia="pt-BR"/>
              </w:rPr>
              <w:t>Rd</w:t>
            </w: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eastAsia="Times New Roman"/>
                <w:color w:val="000000"/>
                <w:lang w:eastAsia="pt-BR"/>
              </w:rPr>
            </w:pPr>
            <w:r w:rsidRPr="005A1263">
              <w:rPr>
                <w:rFonts w:eastAsia="Times New Roman"/>
                <w:color w:val="000000"/>
                <w:lang w:eastAsia="pt-BR"/>
              </w:rPr>
              <w:t>14,330%</w:t>
            </w: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eastAsia="Times New Roman"/>
                <w:color w:val="000000"/>
                <w:lang w:eastAsia="pt-BR"/>
              </w:rPr>
            </w:pPr>
            <w:r w:rsidRPr="005A1263">
              <w:rPr>
                <w:rFonts w:eastAsia="Times New Roman"/>
                <w:color w:val="000000"/>
                <w:lang w:eastAsia="pt-BR"/>
              </w:rPr>
              <w:t>9,013%</w:t>
            </w:r>
          </w:p>
        </w:tc>
      </w:tr>
      <w:tr w:rsidR="00020B44" w:rsidRPr="005A1263" w:rsidTr="00A83BD8">
        <w:trPr>
          <w:trHeight w:val="300"/>
        </w:trPr>
        <w:tc>
          <w:tcPr>
            <w:tcW w:w="3516"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eastAsia="Times New Roman"/>
                <w:color w:val="000000"/>
                <w:lang w:eastAsia="pt-BR"/>
              </w:rPr>
            </w:pPr>
          </w:p>
        </w:tc>
        <w:tc>
          <w:tcPr>
            <w:tcW w:w="1162"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ascii="Times New Roman" w:eastAsia="Times New Roman" w:hAnsi="Times New Roman"/>
                <w:sz w:val="20"/>
                <w:szCs w:val="20"/>
                <w:lang w:eastAsia="pt-BR"/>
              </w:rPr>
            </w:pP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ascii="Times New Roman" w:eastAsia="Times New Roman" w:hAnsi="Times New Roman"/>
                <w:sz w:val="20"/>
                <w:szCs w:val="20"/>
                <w:lang w:eastAsia="pt-BR"/>
              </w:rPr>
            </w:pP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ascii="Times New Roman" w:eastAsia="Times New Roman" w:hAnsi="Times New Roman"/>
                <w:sz w:val="20"/>
                <w:szCs w:val="20"/>
                <w:lang w:eastAsia="pt-BR"/>
              </w:rPr>
            </w:pPr>
          </w:p>
        </w:tc>
      </w:tr>
      <w:tr w:rsidR="00020B44" w:rsidRPr="005A1263" w:rsidTr="00A83BD8">
        <w:trPr>
          <w:trHeight w:val="300"/>
        </w:trPr>
        <w:tc>
          <w:tcPr>
            <w:tcW w:w="3516"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eastAsia="Times New Roman"/>
                <w:b/>
                <w:bCs/>
                <w:color w:val="000000"/>
                <w:lang w:eastAsia="pt-BR"/>
              </w:rPr>
            </w:pPr>
            <w:r w:rsidRPr="005A1263">
              <w:rPr>
                <w:rFonts w:eastAsia="Times New Roman"/>
                <w:b/>
                <w:bCs/>
                <w:color w:val="000000"/>
                <w:lang w:eastAsia="pt-BR"/>
              </w:rPr>
              <w:t>Custo Capital Próprio</w:t>
            </w:r>
          </w:p>
        </w:tc>
        <w:tc>
          <w:tcPr>
            <w:tcW w:w="1162"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eastAsia="Times New Roman"/>
                <w:b/>
                <w:bCs/>
                <w:color w:val="000000"/>
                <w:lang w:eastAsia="pt-BR"/>
              </w:rPr>
            </w:pP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ascii="Times New Roman" w:eastAsia="Times New Roman" w:hAnsi="Times New Roman"/>
                <w:sz w:val="20"/>
                <w:szCs w:val="20"/>
                <w:lang w:eastAsia="pt-BR"/>
              </w:rPr>
            </w:pP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ascii="Times New Roman" w:eastAsia="Times New Roman" w:hAnsi="Times New Roman"/>
                <w:sz w:val="20"/>
                <w:szCs w:val="20"/>
                <w:lang w:eastAsia="pt-BR"/>
              </w:rPr>
            </w:pPr>
          </w:p>
        </w:tc>
      </w:tr>
      <w:tr w:rsidR="00020B44" w:rsidRPr="005A1263" w:rsidTr="00A83BD8">
        <w:trPr>
          <w:trHeight w:val="345"/>
        </w:trPr>
        <w:tc>
          <w:tcPr>
            <w:tcW w:w="3516"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eastAsia="Times New Roman"/>
                <w:color w:val="000000"/>
                <w:lang w:eastAsia="pt-BR"/>
              </w:rPr>
            </w:pPr>
            <w:r w:rsidRPr="005A1263">
              <w:rPr>
                <w:rFonts w:eastAsia="Times New Roman"/>
                <w:color w:val="000000"/>
                <w:lang w:eastAsia="pt-BR"/>
              </w:rPr>
              <w:t>Beta SABESP (Setor)</w:t>
            </w:r>
          </w:p>
        </w:tc>
        <w:tc>
          <w:tcPr>
            <w:tcW w:w="1162"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eastAsia="Times New Roman"/>
                <w:b/>
                <w:bCs/>
                <w:color w:val="000000"/>
                <w:lang w:eastAsia="pt-BR"/>
              </w:rPr>
            </w:pPr>
            <w:r w:rsidRPr="005A1263">
              <w:rPr>
                <w:rFonts w:ascii="Symbol" w:eastAsia="Times New Roman" w:hAnsi="Symbol"/>
                <w:b/>
                <w:bCs/>
                <w:color w:val="000000"/>
                <w:lang w:eastAsia="pt-BR"/>
              </w:rPr>
              <w:t></w:t>
            </w:r>
            <w:r w:rsidRPr="005A1263">
              <w:rPr>
                <w:rFonts w:eastAsia="Times New Roman"/>
                <w:b/>
                <w:bCs/>
                <w:color w:val="000000"/>
                <w:lang w:eastAsia="pt-BR"/>
              </w:rPr>
              <w:t>setor</w:t>
            </w: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eastAsia="Times New Roman"/>
                <w:color w:val="000000"/>
                <w:lang w:eastAsia="pt-BR"/>
              </w:rPr>
            </w:pPr>
            <w:r w:rsidRPr="005A1263">
              <w:rPr>
                <w:rFonts w:eastAsia="Times New Roman"/>
                <w:color w:val="000000"/>
                <w:lang w:eastAsia="pt-BR"/>
              </w:rPr>
              <w:t>0,696</w:t>
            </w: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eastAsia="Times New Roman"/>
                <w:color w:val="000000"/>
                <w:lang w:eastAsia="pt-BR"/>
              </w:rPr>
            </w:pPr>
            <w:r w:rsidRPr="005A1263">
              <w:rPr>
                <w:rFonts w:eastAsia="Times New Roman"/>
                <w:color w:val="000000"/>
                <w:lang w:eastAsia="pt-BR"/>
              </w:rPr>
              <w:t>0,628</w:t>
            </w:r>
          </w:p>
        </w:tc>
      </w:tr>
      <w:tr w:rsidR="00020B44" w:rsidRPr="005A1263" w:rsidTr="00A83BD8">
        <w:trPr>
          <w:trHeight w:val="300"/>
        </w:trPr>
        <w:tc>
          <w:tcPr>
            <w:tcW w:w="3516"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eastAsia="Times New Roman"/>
                <w:color w:val="000000"/>
                <w:lang w:eastAsia="pt-BR"/>
              </w:rPr>
            </w:pPr>
            <w:r w:rsidRPr="005A1263">
              <w:rPr>
                <w:rFonts w:eastAsia="Times New Roman"/>
                <w:color w:val="000000"/>
                <w:lang w:eastAsia="pt-BR"/>
              </w:rPr>
              <w:t>Endividamento SABESP (Setor)</w:t>
            </w:r>
          </w:p>
        </w:tc>
        <w:tc>
          <w:tcPr>
            <w:tcW w:w="1162"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eastAsia="Times New Roman"/>
                <w:b/>
                <w:bCs/>
                <w:color w:val="000000"/>
                <w:lang w:eastAsia="pt-BR"/>
              </w:rPr>
            </w:pPr>
            <w:r w:rsidRPr="005A1263">
              <w:rPr>
                <w:rFonts w:eastAsia="Times New Roman"/>
                <w:b/>
                <w:bCs/>
                <w:color w:val="000000"/>
                <w:lang w:eastAsia="pt-BR"/>
              </w:rPr>
              <w:t>D/E</w:t>
            </w: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eastAsia="Times New Roman"/>
                <w:color w:val="000000"/>
                <w:lang w:eastAsia="pt-BR"/>
              </w:rPr>
            </w:pPr>
            <w:r w:rsidRPr="005A1263">
              <w:rPr>
                <w:rFonts w:eastAsia="Times New Roman"/>
                <w:color w:val="000000"/>
                <w:lang w:eastAsia="pt-BR"/>
              </w:rPr>
              <w:t>0,7741</w:t>
            </w: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eastAsia="Times New Roman"/>
                <w:color w:val="000000"/>
                <w:lang w:eastAsia="pt-BR"/>
              </w:rPr>
            </w:pPr>
            <w:r w:rsidRPr="005A1263">
              <w:rPr>
                <w:rFonts w:eastAsia="Times New Roman"/>
                <w:color w:val="000000"/>
                <w:lang w:eastAsia="pt-BR"/>
              </w:rPr>
              <w:t>0,6780</w:t>
            </w:r>
          </w:p>
        </w:tc>
      </w:tr>
      <w:tr w:rsidR="00020B44" w:rsidRPr="005A1263" w:rsidTr="00A83BD8">
        <w:trPr>
          <w:trHeight w:val="300"/>
        </w:trPr>
        <w:tc>
          <w:tcPr>
            <w:tcW w:w="3516"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eastAsia="Times New Roman"/>
                <w:color w:val="000000"/>
                <w:lang w:eastAsia="pt-BR"/>
              </w:rPr>
            </w:pPr>
            <w:r w:rsidRPr="005A1263">
              <w:rPr>
                <w:rFonts w:eastAsia="Times New Roman"/>
                <w:color w:val="000000"/>
                <w:lang w:eastAsia="pt-BR"/>
              </w:rPr>
              <w:t xml:space="preserve">Beta </w:t>
            </w:r>
            <w:proofErr w:type="spellStart"/>
            <w:r w:rsidRPr="005A1263">
              <w:rPr>
                <w:rFonts w:eastAsia="Times New Roman"/>
                <w:color w:val="000000"/>
                <w:lang w:eastAsia="pt-BR"/>
              </w:rPr>
              <w:t>Desalavancado</w:t>
            </w:r>
            <w:proofErr w:type="spellEnd"/>
            <w:r w:rsidRPr="005A1263">
              <w:rPr>
                <w:rFonts w:eastAsia="Times New Roman"/>
                <w:color w:val="000000"/>
                <w:lang w:eastAsia="pt-BR"/>
              </w:rPr>
              <w:t xml:space="preserve"> SABESP (SETOR)</w:t>
            </w:r>
          </w:p>
        </w:tc>
        <w:tc>
          <w:tcPr>
            <w:tcW w:w="1162"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eastAsia="Times New Roman"/>
                <w:b/>
                <w:bCs/>
                <w:color w:val="000000"/>
                <w:lang w:eastAsia="pt-BR"/>
              </w:rPr>
            </w:pPr>
            <w:r w:rsidRPr="005A1263">
              <w:rPr>
                <w:rFonts w:ascii="Symbol" w:eastAsia="Times New Roman" w:hAnsi="Symbol"/>
                <w:b/>
                <w:bCs/>
                <w:color w:val="000000"/>
                <w:lang w:eastAsia="pt-BR"/>
              </w:rPr>
              <w:t></w:t>
            </w:r>
            <w:r w:rsidRPr="005A1263">
              <w:rPr>
                <w:rFonts w:eastAsia="Times New Roman"/>
                <w:b/>
                <w:bCs/>
                <w:color w:val="000000"/>
                <w:lang w:eastAsia="pt-BR"/>
              </w:rPr>
              <w:t>u</w:t>
            </w: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eastAsia="Times New Roman"/>
                <w:color w:val="000000"/>
                <w:lang w:eastAsia="pt-BR"/>
              </w:rPr>
            </w:pPr>
            <w:r w:rsidRPr="005A1263">
              <w:rPr>
                <w:rFonts w:eastAsia="Times New Roman"/>
                <w:color w:val="000000"/>
                <w:lang w:eastAsia="pt-BR"/>
              </w:rPr>
              <w:t>0,4606</w:t>
            </w: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eastAsia="Times New Roman"/>
                <w:color w:val="000000"/>
                <w:lang w:eastAsia="pt-BR"/>
              </w:rPr>
            </w:pPr>
            <w:r w:rsidRPr="005A1263">
              <w:rPr>
                <w:rFonts w:eastAsia="Times New Roman"/>
                <w:color w:val="000000"/>
                <w:lang w:eastAsia="pt-BR"/>
              </w:rPr>
              <w:t>0,4336</w:t>
            </w:r>
          </w:p>
        </w:tc>
      </w:tr>
      <w:tr w:rsidR="00020B44" w:rsidRPr="005A1263" w:rsidTr="00A83BD8">
        <w:trPr>
          <w:trHeight w:val="300"/>
        </w:trPr>
        <w:tc>
          <w:tcPr>
            <w:tcW w:w="3516"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eastAsia="Times New Roman"/>
                <w:color w:val="000000"/>
                <w:lang w:eastAsia="pt-BR"/>
              </w:rPr>
            </w:pPr>
            <w:r w:rsidRPr="005A1263">
              <w:rPr>
                <w:rFonts w:eastAsia="Times New Roman"/>
                <w:color w:val="000000"/>
                <w:lang w:eastAsia="pt-BR"/>
              </w:rPr>
              <w:t>Beta S&amp;P500-IBOVESPA</w:t>
            </w:r>
          </w:p>
        </w:tc>
        <w:tc>
          <w:tcPr>
            <w:tcW w:w="1162"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eastAsia="Times New Roman"/>
                <w:b/>
                <w:bCs/>
                <w:color w:val="000000"/>
                <w:lang w:eastAsia="pt-BR"/>
              </w:rPr>
            </w:pPr>
            <w:r w:rsidRPr="005A1263">
              <w:rPr>
                <w:rFonts w:ascii="Symbol" w:eastAsia="Times New Roman" w:hAnsi="Symbol"/>
                <w:b/>
                <w:bCs/>
                <w:color w:val="000000"/>
                <w:lang w:eastAsia="pt-BR"/>
              </w:rPr>
              <w:t></w:t>
            </w:r>
            <w:proofErr w:type="spellStart"/>
            <w:r w:rsidRPr="005A1263">
              <w:rPr>
                <w:rFonts w:eastAsia="Times New Roman"/>
                <w:b/>
                <w:bCs/>
                <w:color w:val="000000"/>
                <w:lang w:eastAsia="pt-BR"/>
              </w:rPr>
              <w:t>gl</w:t>
            </w:r>
            <w:proofErr w:type="spellEnd"/>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eastAsia="Times New Roman"/>
                <w:color w:val="000000"/>
                <w:lang w:eastAsia="pt-BR"/>
              </w:rPr>
            </w:pPr>
            <w:r w:rsidRPr="005A1263">
              <w:rPr>
                <w:rFonts w:eastAsia="Times New Roman"/>
                <w:color w:val="000000"/>
                <w:lang w:eastAsia="pt-BR"/>
              </w:rPr>
              <w:t>1,32</w:t>
            </w: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eastAsia="Times New Roman"/>
                <w:color w:val="000000"/>
                <w:lang w:eastAsia="pt-BR"/>
              </w:rPr>
            </w:pPr>
            <w:r w:rsidRPr="005A1263">
              <w:rPr>
                <w:rFonts w:eastAsia="Times New Roman"/>
                <w:color w:val="000000"/>
                <w:lang w:eastAsia="pt-BR"/>
              </w:rPr>
              <w:t>1,182</w:t>
            </w:r>
          </w:p>
        </w:tc>
      </w:tr>
      <w:tr w:rsidR="00020B44" w:rsidRPr="005A1263" w:rsidTr="00A83BD8">
        <w:trPr>
          <w:trHeight w:val="300"/>
        </w:trPr>
        <w:tc>
          <w:tcPr>
            <w:tcW w:w="3516"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eastAsia="Times New Roman"/>
                <w:color w:val="000000"/>
                <w:lang w:eastAsia="pt-BR"/>
              </w:rPr>
            </w:pPr>
            <w:r w:rsidRPr="005A1263">
              <w:rPr>
                <w:rFonts w:eastAsia="Times New Roman"/>
                <w:color w:val="000000"/>
                <w:lang w:eastAsia="pt-BR"/>
              </w:rPr>
              <w:t xml:space="preserve">R2 da </w:t>
            </w:r>
            <w:r>
              <w:rPr>
                <w:rFonts w:eastAsia="Times New Roman"/>
                <w:color w:val="000000"/>
                <w:lang w:eastAsia="pt-BR"/>
              </w:rPr>
              <w:t>regressão</w:t>
            </w:r>
          </w:p>
        </w:tc>
        <w:tc>
          <w:tcPr>
            <w:tcW w:w="1162"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eastAsia="Times New Roman"/>
                <w:b/>
                <w:bCs/>
                <w:color w:val="000000"/>
                <w:lang w:eastAsia="pt-BR"/>
              </w:rPr>
            </w:pPr>
            <w:r w:rsidRPr="005A1263">
              <w:rPr>
                <w:rFonts w:eastAsia="Times New Roman"/>
                <w:b/>
                <w:bCs/>
                <w:color w:val="000000"/>
                <w:lang w:eastAsia="pt-BR"/>
              </w:rPr>
              <w:t>R2</w:t>
            </w: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eastAsia="Times New Roman"/>
                <w:color w:val="000000"/>
                <w:lang w:eastAsia="pt-BR"/>
              </w:rPr>
            </w:pPr>
            <w:r w:rsidRPr="005A1263">
              <w:rPr>
                <w:rFonts w:eastAsia="Times New Roman"/>
                <w:color w:val="000000"/>
                <w:lang w:eastAsia="pt-BR"/>
              </w:rPr>
              <w:t>0,309</w:t>
            </w: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eastAsia="Times New Roman"/>
                <w:color w:val="000000"/>
                <w:lang w:eastAsia="pt-BR"/>
              </w:rPr>
            </w:pPr>
            <w:r w:rsidRPr="005A1263">
              <w:rPr>
                <w:rFonts w:eastAsia="Times New Roman"/>
                <w:color w:val="000000"/>
                <w:lang w:eastAsia="pt-BR"/>
              </w:rPr>
              <w:t>1,000</w:t>
            </w:r>
          </w:p>
        </w:tc>
      </w:tr>
      <w:tr w:rsidR="00020B44" w:rsidRPr="005A1263" w:rsidTr="00A83BD8">
        <w:trPr>
          <w:trHeight w:val="300"/>
        </w:trPr>
        <w:tc>
          <w:tcPr>
            <w:tcW w:w="3516"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eastAsia="Times New Roman"/>
                <w:color w:val="000000"/>
                <w:lang w:eastAsia="pt-BR"/>
              </w:rPr>
            </w:pPr>
            <w:r w:rsidRPr="005A1263">
              <w:rPr>
                <w:rFonts w:eastAsia="Times New Roman"/>
                <w:color w:val="000000"/>
                <w:lang w:eastAsia="pt-BR"/>
              </w:rPr>
              <w:t>Beta ajustado pelo R2</w:t>
            </w:r>
          </w:p>
        </w:tc>
        <w:tc>
          <w:tcPr>
            <w:tcW w:w="1162"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eastAsia="Times New Roman"/>
                <w:color w:val="000000"/>
                <w:lang w:eastAsia="pt-BR"/>
              </w:rPr>
            </w:pP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eastAsia="Times New Roman"/>
                <w:color w:val="000000"/>
                <w:lang w:eastAsia="pt-BR"/>
              </w:rPr>
            </w:pPr>
            <w:r w:rsidRPr="005A1263">
              <w:rPr>
                <w:rFonts w:eastAsia="Times New Roman"/>
                <w:color w:val="000000"/>
                <w:lang w:eastAsia="pt-BR"/>
              </w:rPr>
              <w:t>0,829</w:t>
            </w: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eastAsia="Times New Roman"/>
                <w:color w:val="000000"/>
                <w:lang w:eastAsia="pt-BR"/>
              </w:rPr>
            </w:pPr>
            <w:r w:rsidRPr="005A1263">
              <w:rPr>
                <w:rFonts w:eastAsia="Times New Roman"/>
                <w:color w:val="000000"/>
                <w:lang w:eastAsia="pt-BR"/>
              </w:rPr>
              <w:t>0,434</w:t>
            </w:r>
          </w:p>
        </w:tc>
      </w:tr>
      <w:tr w:rsidR="00020B44" w:rsidRPr="005A1263" w:rsidTr="00A83BD8">
        <w:trPr>
          <w:trHeight w:val="300"/>
        </w:trPr>
        <w:tc>
          <w:tcPr>
            <w:tcW w:w="3516"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eastAsia="Times New Roman"/>
                <w:color w:val="000000"/>
                <w:lang w:eastAsia="pt-BR"/>
              </w:rPr>
            </w:pPr>
            <w:r w:rsidRPr="005A1263">
              <w:rPr>
                <w:rFonts w:eastAsia="Times New Roman"/>
                <w:color w:val="000000"/>
                <w:lang w:eastAsia="pt-BR"/>
              </w:rPr>
              <w:t>Beta Alavancado (estrutura ótima)</w:t>
            </w:r>
          </w:p>
        </w:tc>
        <w:tc>
          <w:tcPr>
            <w:tcW w:w="1162"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eastAsia="Times New Roman"/>
                <w:b/>
                <w:bCs/>
                <w:color w:val="000000"/>
                <w:lang w:eastAsia="pt-BR"/>
              </w:rPr>
            </w:pPr>
            <w:r w:rsidRPr="005A1263">
              <w:rPr>
                <w:rFonts w:ascii="Symbol" w:eastAsia="Times New Roman" w:hAnsi="Symbol"/>
                <w:b/>
                <w:bCs/>
                <w:color w:val="000000"/>
                <w:lang w:eastAsia="pt-BR"/>
              </w:rPr>
              <w:t></w:t>
            </w:r>
            <w:r w:rsidRPr="005A1263">
              <w:rPr>
                <w:rFonts w:eastAsia="Times New Roman"/>
                <w:b/>
                <w:bCs/>
                <w:color w:val="000000"/>
                <w:lang w:eastAsia="pt-BR"/>
              </w:rPr>
              <w:t>l</w:t>
            </w: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eastAsia="Times New Roman"/>
                <w:color w:val="000000"/>
                <w:lang w:eastAsia="pt-BR"/>
              </w:rPr>
            </w:pPr>
            <w:r w:rsidRPr="005A1263">
              <w:rPr>
                <w:rFonts w:eastAsia="Times New Roman"/>
                <w:color w:val="000000"/>
                <w:lang w:eastAsia="pt-BR"/>
              </w:rPr>
              <w:t>1,471</w:t>
            </w: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eastAsia="Times New Roman"/>
                <w:color w:val="000000"/>
                <w:lang w:eastAsia="pt-BR"/>
              </w:rPr>
            </w:pPr>
            <w:r w:rsidRPr="005A1263">
              <w:rPr>
                <w:rFonts w:eastAsia="Times New Roman"/>
                <w:color w:val="000000"/>
                <w:lang w:eastAsia="pt-BR"/>
              </w:rPr>
              <w:t>0,770</w:t>
            </w:r>
          </w:p>
        </w:tc>
      </w:tr>
      <w:tr w:rsidR="00020B44" w:rsidRPr="005A1263" w:rsidTr="00A83BD8">
        <w:trPr>
          <w:trHeight w:val="300"/>
        </w:trPr>
        <w:tc>
          <w:tcPr>
            <w:tcW w:w="3516"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eastAsia="Times New Roman"/>
                <w:color w:val="000000"/>
                <w:lang w:eastAsia="pt-BR"/>
              </w:rPr>
            </w:pPr>
            <w:r w:rsidRPr="005A1263">
              <w:rPr>
                <w:rFonts w:eastAsia="Times New Roman"/>
                <w:color w:val="000000"/>
                <w:lang w:eastAsia="pt-BR"/>
              </w:rPr>
              <w:t>Beta Final</w:t>
            </w:r>
          </w:p>
        </w:tc>
        <w:tc>
          <w:tcPr>
            <w:tcW w:w="1162"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eastAsia="Times New Roman"/>
                <w:b/>
                <w:bCs/>
                <w:color w:val="000000"/>
                <w:lang w:eastAsia="pt-BR"/>
              </w:rPr>
            </w:pPr>
            <w:r w:rsidRPr="005A1263">
              <w:rPr>
                <w:rFonts w:eastAsia="Times New Roman"/>
                <w:b/>
                <w:bCs/>
                <w:color w:val="000000"/>
                <w:lang w:eastAsia="pt-BR"/>
              </w:rPr>
              <w:t>Beta Final</w:t>
            </w: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eastAsia="Times New Roman"/>
                <w:color w:val="000000"/>
                <w:lang w:eastAsia="pt-BR"/>
              </w:rPr>
            </w:pPr>
            <w:r w:rsidRPr="005A1263">
              <w:rPr>
                <w:rFonts w:eastAsia="Times New Roman"/>
                <w:color w:val="000000"/>
                <w:lang w:eastAsia="pt-BR"/>
              </w:rPr>
              <w:t>1,941</w:t>
            </w: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eastAsia="Times New Roman"/>
                <w:color w:val="000000"/>
                <w:lang w:eastAsia="pt-BR"/>
              </w:rPr>
            </w:pPr>
            <w:r w:rsidRPr="005A1263">
              <w:rPr>
                <w:rFonts w:eastAsia="Times New Roman"/>
                <w:color w:val="000000"/>
                <w:lang w:eastAsia="pt-BR"/>
              </w:rPr>
              <w:t>0,910</w:t>
            </w:r>
          </w:p>
        </w:tc>
      </w:tr>
      <w:tr w:rsidR="00020B44" w:rsidRPr="005A1263" w:rsidTr="00A83BD8">
        <w:trPr>
          <w:trHeight w:val="300"/>
        </w:trPr>
        <w:tc>
          <w:tcPr>
            <w:tcW w:w="3516"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eastAsia="Times New Roman"/>
                <w:color w:val="000000"/>
                <w:lang w:eastAsia="pt-BR"/>
              </w:rPr>
            </w:pPr>
            <w:r w:rsidRPr="005A1263">
              <w:rPr>
                <w:rFonts w:eastAsia="Times New Roman"/>
                <w:color w:val="000000"/>
                <w:lang w:eastAsia="pt-BR"/>
              </w:rPr>
              <w:t>Prêmio pelo Risco de Mercado</w:t>
            </w:r>
          </w:p>
        </w:tc>
        <w:tc>
          <w:tcPr>
            <w:tcW w:w="1162"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eastAsia="Times New Roman"/>
                <w:b/>
                <w:bCs/>
                <w:color w:val="000000"/>
                <w:lang w:eastAsia="pt-BR"/>
              </w:rPr>
            </w:pPr>
            <w:r w:rsidRPr="005A1263">
              <w:rPr>
                <w:rFonts w:eastAsia="Times New Roman"/>
                <w:b/>
                <w:bCs/>
                <w:color w:val="000000"/>
                <w:lang w:eastAsia="pt-BR"/>
              </w:rPr>
              <w:t>PRM</w:t>
            </w: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eastAsia="Times New Roman"/>
                <w:color w:val="000000"/>
                <w:lang w:eastAsia="pt-BR"/>
              </w:rPr>
            </w:pPr>
            <w:r w:rsidRPr="005A1263">
              <w:rPr>
                <w:rFonts w:eastAsia="Times New Roman"/>
                <w:color w:val="000000"/>
                <w:lang w:eastAsia="pt-BR"/>
              </w:rPr>
              <w:t>5,88%</w:t>
            </w: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eastAsia="Times New Roman"/>
                <w:color w:val="000000"/>
                <w:lang w:eastAsia="pt-BR"/>
              </w:rPr>
            </w:pPr>
            <w:r w:rsidRPr="005A1263">
              <w:rPr>
                <w:rFonts w:eastAsia="Times New Roman"/>
                <w:color w:val="000000"/>
                <w:lang w:eastAsia="pt-BR"/>
              </w:rPr>
              <w:t>5,88%</w:t>
            </w:r>
          </w:p>
        </w:tc>
      </w:tr>
      <w:tr w:rsidR="00020B44" w:rsidRPr="005A1263" w:rsidTr="00A83BD8">
        <w:trPr>
          <w:trHeight w:val="300"/>
        </w:trPr>
        <w:tc>
          <w:tcPr>
            <w:tcW w:w="3516"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eastAsia="Times New Roman"/>
                <w:color w:val="000000"/>
                <w:lang w:eastAsia="pt-BR"/>
              </w:rPr>
            </w:pPr>
            <w:r w:rsidRPr="005A1263">
              <w:rPr>
                <w:rFonts w:eastAsia="Times New Roman"/>
                <w:color w:val="000000"/>
                <w:lang w:eastAsia="pt-BR"/>
              </w:rPr>
              <w:t xml:space="preserve">Prêmio adicional </w:t>
            </w:r>
            <w:proofErr w:type="spellStart"/>
            <w:r>
              <w:rPr>
                <w:rFonts w:eastAsia="Times New Roman"/>
                <w:color w:val="000000"/>
                <w:lang w:eastAsia="pt-BR"/>
              </w:rPr>
              <w:t>Foz|</w:t>
            </w:r>
            <w:r w:rsidRPr="005A1263">
              <w:rPr>
                <w:rFonts w:eastAsia="Times New Roman"/>
                <w:color w:val="000000"/>
                <w:lang w:eastAsia="pt-BR"/>
              </w:rPr>
              <w:t>Saneatins</w:t>
            </w:r>
            <w:proofErr w:type="spellEnd"/>
          </w:p>
        </w:tc>
        <w:tc>
          <w:tcPr>
            <w:tcW w:w="1162"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eastAsia="Times New Roman"/>
                <w:b/>
                <w:bCs/>
                <w:color w:val="000000"/>
                <w:lang w:eastAsia="pt-BR"/>
              </w:rPr>
            </w:pPr>
            <w:r w:rsidRPr="005A1263">
              <w:rPr>
                <w:rFonts w:ascii="Symbol" w:eastAsia="Times New Roman" w:hAnsi="Symbol"/>
                <w:b/>
                <w:bCs/>
                <w:color w:val="000000"/>
                <w:lang w:eastAsia="pt-BR"/>
              </w:rPr>
              <w:t></w:t>
            </w:r>
            <w:r>
              <w:rPr>
                <w:rFonts w:eastAsia="Times New Roman"/>
                <w:b/>
                <w:bCs/>
                <w:color w:val="000000"/>
                <w:lang w:eastAsia="pt-BR"/>
              </w:rPr>
              <w:t xml:space="preserve"> sp</w:t>
            </w:r>
            <w:r w:rsidRPr="005A1263">
              <w:rPr>
                <w:rFonts w:eastAsia="Times New Roman"/>
                <w:b/>
                <w:bCs/>
                <w:color w:val="000000"/>
                <w:lang w:eastAsia="pt-BR"/>
              </w:rPr>
              <w:t>read</w:t>
            </w: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eastAsia="Times New Roman"/>
                <w:color w:val="000000"/>
                <w:lang w:eastAsia="pt-BR"/>
              </w:rPr>
            </w:pPr>
            <w:r w:rsidRPr="005A1263">
              <w:rPr>
                <w:rFonts w:eastAsia="Times New Roman"/>
                <w:color w:val="000000"/>
                <w:lang w:eastAsia="pt-BR"/>
              </w:rPr>
              <w:t>0,00%</w:t>
            </w: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eastAsia="Times New Roman"/>
                <w:color w:val="000000"/>
                <w:lang w:eastAsia="pt-BR"/>
              </w:rPr>
            </w:pPr>
            <w:r w:rsidRPr="005A1263">
              <w:rPr>
                <w:rFonts w:eastAsia="Times New Roman"/>
                <w:color w:val="000000"/>
                <w:lang w:eastAsia="pt-BR"/>
              </w:rPr>
              <w:t>5,44%</w:t>
            </w:r>
          </w:p>
        </w:tc>
      </w:tr>
      <w:tr w:rsidR="00020B44" w:rsidRPr="005A1263" w:rsidTr="00A83BD8">
        <w:trPr>
          <w:trHeight w:val="300"/>
        </w:trPr>
        <w:tc>
          <w:tcPr>
            <w:tcW w:w="3516"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eastAsia="Times New Roman"/>
                <w:color w:val="000000"/>
                <w:lang w:eastAsia="pt-BR"/>
              </w:rPr>
            </w:pPr>
            <w:r w:rsidRPr="005A1263">
              <w:rPr>
                <w:rFonts w:eastAsia="Times New Roman"/>
                <w:color w:val="000000"/>
                <w:lang w:eastAsia="pt-BR"/>
              </w:rPr>
              <w:t>Custo de Capital Próprio</w:t>
            </w:r>
          </w:p>
        </w:tc>
        <w:tc>
          <w:tcPr>
            <w:tcW w:w="1162"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eastAsia="Times New Roman"/>
                <w:b/>
                <w:bCs/>
                <w:color w:val="000000"/>
                <w:lang w:eastAsia="pt-BR"/>
              </w:rPr>
            </w:pPr>
            <w:proofErr w:type="spellStart"/>
            <w:r w:rsidRPr="005A1263">
              <w:rPr>
                <w:rFonts w:eastAsia="Times New Roman"/>
                <w:b/>
                <w:bCs/>
                <w:color w:val="000000"/>
                <w:lang w:eastAsia="pt-BR"/>
              </w:rPr>
              <w:t>Ke</w:t>
            </w:r>
            <w:proofErr w:type="spellEnd"/>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eastAsia="Times New Roman"/>
                <w:color w:val="000000"/>
                <w:lang w:eastAsia="pt-BR"/>
              </w:rPr>
            </w:pPr>
            <w:r w:rsidRPr="005A1263">
              <w:rPr>
                <w:rFonts w:eastAsia="Times New Roman"/>
                <w:color w:val="000000"/>
                <w:lang w:eastAsia="pt-BR"/>
              </w:rPr>
              <w:t>16,84%</w:t>
            </w: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eastAsia="Times New Roman"/>
                <w:color w:val="000000"/>
                <w:lang w:eastAsia="pt-BR"/>
              </w:rPr>
            </w:pPr>
            <w:r w:rsidRPr="005A1263">
              <w:rPr>
                <w:rFonts w:eastAsia="Times New Roman"/>
                <w:color w:val="000000"/>
                <w:lang w:eastAsia="pt-BR"/>
              </w:rPr>
              <w:t>16,21%</w:t>
            </w:r>
          </w:p>
        </w:tc>
      </w:tr>
      <w:tr w:rsidR="00020B44" w:rsidRPr="005A1263" w:rsidTr="00A83BD8">
        <w:trPr>
          <w:trHeight w:val="300"/>
        </w:trPr>
        <w:tc>
          <w:tcPr>
            <w:tcW w:w="3516"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eastAsia="Times New Roman"/>
                <w:color w:val="000000"/>
                <w:lang w:eastAsia="pt-BR"/>
              </w:rPr>
            </w:pPr>
          </w:p>
        </w:tc>
        <w:tc>
          <w:tcPr>
            <w:tcW w:w="1162"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ascii="Times New Roman" w:eastAsia="Times New Roman" w:hAnsi="Times New Roman"/>
                <w:sz w:val="20"/>
                <w:szCs w:val="20"/>
                <w:lang w:eastAsia="pt-BR"/>
              </w:rPr>
            </w:pP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ascii="Times New Roman" w:eastAsia="Times New Roman" w:hAnsi="Times New Roman"/>
                <w:sz w:val="20"/>
                <w:szCs w:val="20"/>
                <w:lang w:eastAsia="pt-BR"/>
              </w:rPr>
            </w:pP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ascii="Times New Roman" w:eastAsia="Times New Roman" w:hAnsi="Times New Roman"/>
                <w:sz w:val="20"/>
                <w:szCs w:val="20"/>
                <w:lang w:eastAsia="pt-BR"/>
              </w:rPr>
            </w:pPr>
          </w:p>
        </w:tc>
      </w:tr>
      <w:tr w:rsidR="00020B44" w:rsidRPr="005A1263" w:rsidTr="00A83BD8">
        <w:trPr>
          <w:trHeight w:val="315"/>
        </w:trPr>
        <w:tc>
          <w:tcPr>
            <w:tcW w:w="4678" w:type="dxa"/>
            <w:gridSpan w:val="2"/>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eastAsia="Times New Roman"/>
                <w:b/>
                <w:bCs/>
                <w:color w:val="000000"/>
                <w:lang w:eastAsia="pt-BR"/>
              </w:rPr>
            </w:pPr>
            <w:r w:rsidRPr="005A1263">
              <w:rPr>
                <w:rFonts w:eastAsia="Times New Roman"/>
                <w:b/>
                <w:bCs/>
                <w:color w:val="000000"/>
                <w:lang w:eastAsia="pt-BR"/>
              </w:rPr>
              <w:t>Custo Médio Ponderado de Capital (WACC)</w:t>
            </w: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eastAsia="Times New Roman"/>
                <w:b/>
                <w:bCs/>
                <w:color w:val="000000"/>
                <w:lang w:eastAsia="pt-BR"/>
              </w:rPr>
            </w:pP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ascii="Times New Roman" w:eastAsia="Times New Roman" w:hAnsi="Times New Roman"/>
                <w:sz w:val="20"/>
                <w:szCs w:val="20"/>
                <w:lang w:eastAsia="pt-BR"/>
              </w:rPr>
            </w:pPr>
          </w:p>
        </w:tc>
      </w:tr>
      <w:tr w:rsidR="00020B44" w:rsidRPr="005A1263" w:rsidTr="00A83BD8">
        <w:trPr>
          <w:trHeight w:val="300"/>
        </w:trPr>
        <w:tc>
          <w:tcPr>
            <w:tcW w:w="3516"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eastAsia="Times New Roman"/>
                <w:color w:val="000000"/>
                <w:lang w:eastAsia="pt-BR"/>
              </w:rPr>
            </w:pPr>
            <w:r w:rsidRPr="005A1263">
              <w:rPr>
                <w:rFonts w:eastAsia="Times New Roman"/>
                <w:color w:val="000000"/>
                <w:lang w:eastAsia="pt-BR"/>
              </w:rPr>
              <w:t>Alíquota IR</w:t>
            </w:r>
          </w:p>
        </w:tc>
        <w:tc>
          <w:tcPr>
            <w:tcW w:w="1162"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eastAsia="Times New Roman"/>
                <w:b/>
                <w:bCs/>
                <w:color w:val="000000"/>
                <w:lang w:eastAsia="pt-BR"/>
              </w:rPr>
            </w:pPr>
            <w:r w:rsidRPr="005A1263">
              <w:rPr>
                <w:rFonts w:eastAsia="Times New Roman"/>
                <w:b/>
                <w:bCs/>
                <w:color w:val="000000"/>
                <w:lang w:eastAsia="pt-BR"/>
              </w:rPr>
              <w:t>IR+CSLL</w:t>
            </w: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eastAsia="Times New Roman"/>
                <w:color w:val="000000"/>
                <w:lang w:eastAsia="pt-BR"/>
              </w:rPr>
            </w:pPr>
            <w:r w:rsidRPr="005A1263">
              <w:rPr>
                <w:rFonts w:eastAsia="Times New Roman"/>
                <w:color w:val="000000"/>
                <w:lang w:eastAsia="pt-BR"/>
              </w:rPr>
              <w:t>34%</w:t>
            </w: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eastAsia="Times New Roman"/>
                <w:color w:val="000000"/>
                <w:lang w:eastAsia="pt-BR"/>
              </w:rPr>
            </w:pPr>
            <w:r w:rsidRPr="005A1263">
              <w:rPr>
                <w:rFonts w:eastAsia="Times New Roman"/>
                <w:color w:val="000000"/>
                <w:lang w:eastAsia="pt-BR"/>
              </w:rPr>
              <w:t>34%</w:t>
            </w:r>
          </w:p>
        </w:tc>
      </w:tr>
      <w:tr w:rsidR="00020B44" w:rsidRPr="005A1263" w:rsidTr="00A83BD8">
        <w:trPr>
          <w:trHeight w:val="300"/>
        </w:trPr>
        <w:tc>
          <w:tcPr>
            <w:tcW w:w="3516"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eastAsia="Times New Roman"/>
                <w:color w:val="000000"/>
                <w:lang w:eastAsia="pt-BR"/>
              </w:rPr>
            </w:pPr>
            <w:r w:rsidRPr="005A1263">
              <w:rPr>
                <w:rFonts w:eastAsia="Times New Roman"/>
                <w:color w:val="000000"/>
                <w:lang w:eastAsia="pt-BR"/>
              </w:rPr>
              <w:t>WACC nominal em dólares</w:t>
            </w:r>
          </w:p>
        </w:tc>
        <w:tc>
          <w:tcPr>
            <w:tcW w:w="1162"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eastAsia="Times New Roman"/>
                <w:b/>
                <w:bCs/>
                <w:color w:val="000000"/>
                <w:lang w:eastAsia="pt-BR"/>
              </w:rPr>
            </w:pPr>
            <w:r w:rsidRPr="005A1263">
              <w:rPr>
                <w:rFonts w:eastAsia="Times New Roman"/>
                <w:b/>
                <w:bCs/>
                <w:color w:val="000000"/>
                <w:lang w:eastAsia="pt-BR"/>
              </w:rPr>
              <w:t>WACC</w:t>
            </w: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eastAsia="Times New Roman"/>
                <w:color w:val="000000"/>
                <w:lang w:eastAsia="pt-BR"/>
              </w:rPr>
            </w:pPr>
            <w:r w:rsidRPr="005A1263">
              <w:rPr>
                <w:rFonts w:eastAsia="Times New Roman"/>
                <w:color w:val="000000"/>
                <w:lang w:eastAsia="pt-BR"/>
              </w:rPr>
              <w:t>12,851%</w:t>
            </w: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eastAsia="Times New Roman"/>
                <w:color w:val="000000"/>
                <w:lang w:eastAsia="pt-BR"/>
              </w:rPr>
            </w:pPr>
            <w:r w:rsidRPr="005A1263">
              <w:rPr>
                <w:rFonts w:eastAsia="Times New Roman"/>
                <w:color w:val="000000"/>
                <w:lang w:eastAsia="pt-BR"/>
              </w:rPr>
              <w:t>10,667%</w:t>
            </w:r>
          </w:p>
        </w:tc>
      </w:tr>
      <w:tr w:rsidR="00020B44" w:rsidRPr="005A1263" w:rsidTr="00A83BD8">
        <w:trPr>
          <w:trHeight w:val="300"/>
        </w:trPr>
        <w:tc>
          <w:tcPr>
            <w:tcW w:w="3516"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eastAsia="Times New Roman"/>
                <w:color w:val="000000"/>
                <w:lang w:eastAsia="pt-BR"/>
              </w:rPr>
            </w:pPr>
            <w:r w:rsidRPr="005A1263">
              <w:rPr>
                <w:rFonts w:eastAsia="Times New Roman"/>
                <w:color w:val="000000"/>
                <w:lang w:eastAsia="pt-BR"/>
              </w:rPr>
              <w:t>Inflação EUA</w:t>
            </w:r>
          </w:p>
        </w:tc>
        <w:tc>
          <w:tcPr>
            <w:tcW w:w="1162"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eastAsia="Times New Roman"/>
                <w:b/>
                <w:bCs/>
                <w:color w:val="000000"/>
                <w:lang w:eastAsia="pt-BR"/>
              </w:rPr>
            </w:pPr>
            <w:r w:rsidRPr="005A1263">
              <w:rPr>
                <w:rFonts w:eastAsia="Times New Roman"/>
                <w:b/>
                <w:bCs/>
                <w:color w:val="000000"/>
                <w:lang w:eastAsia="pt-BR"/>
              </w:rPr>
              <w:t>Inflação EUA</w:t>
            </w: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eastAsia="Times New Roman"/>
                <w:color w:val="000000"/>
                <w:lang w:eastAsia="pt-BR"/>
              </w:rPr>
            </w:pPr>
            <w:r w:rsidRPr="005A1263">
              <w:rPr>
                <w:rFonts w:eastAsia="Times New Roman"/>
                <w:color w:val="000000"/>
                <w:lang w:eastAsia="pt-BR"/>
              </w:rPr>
              <w:t>2,41%</w:t>
            </w: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eastAsia="Times New Roman"/>
                <w:color w:val="000000"/>
                <w:lang w:eastAsia="pt-BR"/>
              </w:rPr>
            </w:pPr>
            <w:r w:rsidRPr="005A1263">
              <w:rPr>
                <w:rFonts w:eastAsia="Times New Roman"/>
                <w:color w:val="000000"/>
                <w:lang w:eastAsia="pt-BR"/>
              </w:rPr>
              <w:t>2,41%</w:t>
            </w:r>
          </w:p>
        </w:tc>
      </w:tr>
      <w:tr w:rsidR="00020B44" w:rsidRPr="005A1263" w:rsidTr="00A83BD8">
        <w:trPr>
          <w:trHeight w:val="300"/>
        </w:trPr>
        <w:tc>
          <w:tcPr>
            <w:tcW w:w="3516"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eastAsia="Times New Roman"/>
                <w:color w:val="000000"/>
                <w:lang w:eastAsia="pt-BR"/>
              </w:rPr>
            </w:pPr>
          </w:p>
        </w:tc>
        <w:tc>
          <w:tcPr>
            <w:tcW w:w="1162"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ascii="Times New Roman" w:eastAsia="Times New Roman" w:hAnsi="Times New Roman"/>
                <w:sz w:val="20"/>
                <w:szCs w:val="20"/>
                <w:lang w:eastAsia="pt-BR"/>
              </w:rPr>
            </w:pP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ascii="Times New Roman" w:eastAsia="Times New Roman" w:hAnsi="Times New Roman"/>
                <w:sz w:val="20"/>
                <w:szCs w:val="20"/>
                <w:lang w:eastAsia="pt-BR"/>
              </w:rPr>
            </w:pP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ascii="Times New Roman" w:eastAsia="Times New Roman" w:hAnsi="Times New Roman"/>
                <w:sz w:val="20"/>
                <w:szCs w:val="20"/>
                <w:lang w:eastAsia="pt-BR"/>
              </w:rPr>
            </w:pPr>
          </w:p>
        </w:tc>
      </w:tr>
      <w:tr w:rsidR="00020B44" w:rsidRPr="005A1263" w:rsidTr="00A83BD8">
        <w:trPr>
          <w:trHeight w:val="300"/>
        </w:trPr>
        <w:tc>
          <w:tcPr>
            <w:tcW w:w="3516"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eastAsia="Times New Roman"/>
                <w:b/>
                <w:bCs/>
                <w:color w:val="000000"/>
                <w:lang w:eastAsia="pt-BR"/>
              </w:rPr>
            </w:pPr>
            <w:r w:rsidRPr="005A1263">
              <w:rPr>
                <w:rFonts w:eastAsia="Times New Roman"/>
                <w:b/>
                <w:bCs/>
                <w:color w:val="000000"/>
                <w:lang w:eastAsia="pt-BR"/>
              </w:rPr>
              <w:t xml:space="preserve">WACC real </w:t>
            </w:r>
          </w:p>
        </w:tc>
        <w:tc>
          <w:tcPr>
            <w:tcW w:w="1162"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rPr>
                <w:rFonts w:eastAsia="Times New Roman"/>
                <w:b/>
                <w:bCs/>
                <w:color w:val="000000"/>
                <w:lang w:eastAsia="pt-BR"/>
              </w:rPr>
            </w:pP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eastAsia="Times New Roman"/>
                <w:b/>
                <w:bCs/>
                <w:color w:val="000000"/>
                <w:lang w:eastAsia="pt-BR"/>
              </w:rPr>
            </w:pPr>
            <w:r w:rsidRPr="005A1263">
              <w:rPr>
                <w:rFonts w:eastAsia="Times New Roman"/>
                <w:b/>
                <w:bCs/>
                <w:color w:val="000000"/>
                <w:lang w:eastAsia="pt-BR"/>
              </w:rPr>
              <w:t>10,196%</w:t>
            </w:r>
          </w:p>
        </w:tc>
        <w:tc>
          <w:tcPr>
            <w:tcW w:w="2013" w:type="dxa"/>
            <w:tcBorders>
              <w:top w:val="nil"/>
              <w:left w:val="nil"/>
              <w:bottom w:val="nil"/>
              <w:right w:val="nil"/>
            </w:tcBorders>
            <w:shd w:val="clear" w:color="auto" w:fill="auto"/>
            <w:noWrap/>
            <w:vAlign w:val="bottom"/>
            <w:hideMark/>
          </w:tcPr>
          <w:p w:rsidR="00020B44" w:rsidRPr="005A1263" w:rsidRDefault="00020B44" w:rsidP="00A83BD8">
            <w:pPr>
              <w:spacing w:after="0" w:line="240" w:lineRule="auto"/>
              <w:jc w:val="center"/>
              <w:rPr>
                <w:rFonts w:eastAsia="Times New Roman"/>
                <w:b/>
                <w:bCs/>
                <w:color w:val="000000"/>
                <w:lang w:eastAsia="pt-BR"/>
              </w:rPr>
            </w:pPr>
            <w:r w:rsidRPr="005A1263">
              <w:rPr>
                <w:rFonts w:eastAsia="Times New Roman"/>
                <w:b/>
                <w:bCs/>
                <w:color w:val="000000"/>
                <w:lang w:eastAsia="pt-BR"/>
              </w:rPr>
              <w:t>8,062%</w:t>
            </w:r>
          </w:p>
        </w:tc>
      </w:tr>
    </w:tbl>
    <w:p w:rsidR="00020B44" w:rsidRDefault="00020B44" w:rsidP="00020B44">
      <w:pPr>
        <w:spacing w:line="360" w:lineRule="auto"/>
        <w:jc w:val="both"/>
      </w:pPr>
      <w:r>
        <w:t xml:space="preserve"> </w:t>
      </w:r>
    </w:p>
    <w:p w:rsidR="00020B44" w:rsidRPr="0026207E" w:rsidRDefault="00020B44" w:rsidP="00020B44">
      <w:pPr>
        <w:spacing w:line="360" w:lineRule="auto"/>
        <w:jc w:val="both"/>
        <w:rPr>
          <w:sz w:val="20"/>
          <w:szCs w:val="20"/>
        </w:rPr>
      </w:pPr>
      <w:r w:rsidRPr="0026207E">
        <w:rPr>
          <w:sz w:val="20"/>
          <w:szCs w:val="20"/>
        </w:rPr>
        <w:lastRenderedPageBreak/>
        <w:t>Nota: o valor do WACC proposto no ET05 foi recalculado pela ATR a partir das informações fornecidas no ET05. O valor obtido pela ATR foi de 10,196%, frente a 10,19% no ET05, uma ligeira discrepância inferior a 0,01%</w:t>
      </w:r>
      <w:r>
        <w:rPr>
          <w:sz w:val="20"/>
          <w:szCs w:val="20"/>
        </w:rPr>
        <w:t xml:space="preserve"> que pode ter origem em simples arredondamento</w:t>
      </w:r>
      <w:r w:rsidRPr="0026207E">
        <w:rPr>
          <w:sz w:val="20"/>
          <w:szCs w:val="20"/>
        </w:rPr>
        <w:t>.</w:t>
      </w:r>
    </w:p>
    <w:p w:rsidR="00020B44" w:rsidRDefault="00020B44" w:rsidP="00020B44">
      <w:pPr>
        <w:spacing w:line="360" w:lineRule="auto"/>
        <w:jc w:val="both"/>
      </w:pPr>
    </w:p>
    <w:p w:rsidR="00020B44" w:rsidRDefault="00020B44" w:rsidP="00020B44">
      <w:pPr>
        <w:spacing w:line="360" w:lineRule="auto"/>
        <w:jc w:val="both"/>
      </w:pPr>
      <w:r>
        <w:t>Da forma como a ATR calculou os parâmetros para fins regulatórios, o custo de capital foi sensivelmente reduzido, em 213 pontos-base relativamente ao que foi proposto pela concessionária, que seria de 10,19%. Entretanto, importa ressaltar que, da forma como calculamos, os valores obtidos refletem de forma fidedigna uma meta regulatória razoável para o custo de capital e, portanto, não enxergamos risco importante à sustentabilidade do negócio em função dessa redução.</w:t>
      </w:r>
    </w:p>
    <w:p w:rsidR="00020B44" w:rsidRDefault="00020B44" w:rsidP="00020B44">
      <w:pPr>
        <w:spacing w:line="360" w:lineRule="auto"/>
        <w:jc w:val="both"/>
      </w:pPr>
      <w:r>
        <w:t xml:space="preserve">É importante notar ainda que, por força dos contratos dos municípios com a concessionária, regulados por esta Agência, as despesas de investimentos não amortizadas no prazo da concessão fazem jus a remuneração à taxa de TJLP + 12% ao ano, ou à taxa do financiamento correspondente. Esta parcela dos fluxos, assim, será remunerada por uma taxa diferente do WACC regulatório definido nesta Nota Técnica, o que se torna necessário para o cumprimento dos contratos. </w:t>
      </w:r>
    </w:p>
    <w:p w:rsidR="003B5F38" w:rsidRDefault="003B5F38" w:rsidP="003B5F38">
      <w:pPr>
        <w:spacing w:line="360" w:lineRule="auto"/>
        <w:jc w:val="both"/>
      </w:pPr>
    </w:p>
    <w:p w:rsidR="003B5F38" w:rsidRDefault="003B5F38" w:rsidP="003B5F38">
      <w:pPr>
        <w:pStyle w:val="Ttulo1"/>
        <w:numPr>
          <w:ilvl w:val="0"/>
          <w:numId w:val="15"/>
        </w:numPr>
        <w:spacing w:before="0" w:after="200" w:line="360" w:lineRule="auto"/>
        <w:ind w:left="357" w:hanging="357"/>
        <w:jc w:val="both"/>
      </w:pPr>
      <w:bookmarkStart w:id="13" w:name="_Toc378193741"/>
      <w:r>
        <w:t>OPEX</w:t>
      </w:r>
      <w:bookmarkEnd w:id="13"/>
    </w:p>
    <w:p w:rsidR="00B87644" w:rsidRDefault="00B87644" w:rsidP="003B5F38">
      <w:pPr>
        <w:spacing w:line="360" w:lineRule="auto"/>
        <w:jc w:val="both"/>
      </w:pPr>
      <w:r>
        <w:t>A estruturação das despesas apresentadas atende a Resolução ATR 076/13 quanto à apuração integral dos custos operacionais (OPEX) e quanto aos custos incorridos e projetados.</w:t>
      </w:r>
    </w:p>
    <w:p w:rsidR="009C7391" w:rsidRDefault="00C168CD" w:rsidP="003B5F38">
      <w:pPr>
        <w:spacing w:line="360" w:lineRule="auto"/>
        <w:jc w:val="both"/>
      </w:pPr>
      <w:r>
        <w:t>A NT2 fez</w:t>
      </w:r>
      <w:r w:rsidR="00496364">
        <w:t xml:space="preserve"> uma comparação </w:t>
      </w:r>
      <w:r>
        <w:t xml:space="preserve">das informações reportadas no ET03 com </w:t>
      </w:r>
      <w:r w:rsidR="00496364">
        <w:t>os dados d</w:t>
      </w:r>
      <w:r>
        <w:t>o</w:t>
      </w:r>
      <w:r w:rsidR="00496364">
        <w:t xml:space="preserve"> SNIS</w:t>
      </w:r>
      <w:r w:rsidR="00B87644">
        <w:t xml:space="preserve"> – disponíveis até 2011, e com metodologia de apuração diferente da utilizada neste trabalho regulatório,</w:t>
      </w:r>
      <w:r w:rsidR="00B87644" w:rsidRPr="00B87644">
        <w:t xml:space="preserve"> </w:t>
      </w:r>
      <w:r w:rsidR="00B87644">
        <w:t>portanto, exigindo ajustes</w:t>
      </w:r>
      <w:r w:rsidR="00496364">
        <w:t>.</w:t>
      </w:r>
    </w:p>
    <w:p w:rsidR="00B87644" w:rsidRDefault="00041DF5" w:rsidP="003B5F38">
      <w:pPr>
        <w:spacing w:line="360" w:lineRule="auto"/>
        <w:jc w:val="both"/>
      </w:pPr>
      <w:r>
        <w:t xml:space="preserve">As categorias de </w:t>
      </w:r>
      <w:r w:rsidR="001113D5">
        <w:t xml:space="preserve">pessoal, </w:t>
      </w:r>
      <w:r>
        <w:t>produtos químicos, materiais de tratamento e energia elétrica e força e luz apresentaram valores compatíveis. A comparação das demais categorias foi prejudicada em razão do SNIS não contemplar isoladamente os mesmos subconjuntos de despesas. Portanto, em função da diferença metodológica, optou-se pelos dados contábeis refletidos no ET03.</w:t>
      </w:r>
    </w:p>
    <w:p w:rsidR="00877CBC" w:rsidRPr="007D40F7" w:rsidRDefault="00877CBC" w:rsidP="00877CBC">
      <w:pPr>
        <w:spacing w:line="360" w:lineRule="auto"/>
        <w:jc w:val="both"/>
      </w:pPr>
      <w:r w:rsidRPr="007D40F7">
        <w:t xml:space="preserve">A </w:t>
      </w:r>
      <w:proofErr w:type="spellStart"/>
      <w:r w:rsidRPr="007D40F7">
        <w:t>Foz|Saneatins</w:t>
      </w:r>
      <w:proofErr w:type="spellEnd"/>
      <w:r w:rsidRPr="007D40F7">
        <w:t xml:space="preserve"> efetuou glosas </w:t>
      </w:r>
      <w:r w:rsidR="007D40F7" w:rsidRPr="007D40F7">
        <w:t xml:space="preserve">sobre </w:t>
      </w:r>
      <w:r w:rsidRPr="007D40F7">
        <w:t xml:space="preserve">o montante do OPEX apurado para o ano de 2012, portanto, diminuindo o OPEX estimado para o ano de 2013, </w:t>
      </w:r>
      <w:r w:rsidR="00DC09BF" w:rsidRPr="007D40F7">
        <w:t>ano</w:t>
      </w:r>
      <w:r w:rsidRPr="007D40F7">
        <w:t xml:space="preserve"> base para </w:t>
      </w:r>
      <w:r w:rsidR="00DC09BF" w:rsidRPr="007D40F7">
        <w:t xml:space="preserve">fins de cálculos e projeções para o ciclo tarifário em discussão. </w:t>
      </w:r>
      <w:r w:rsidRPr="007D40F7">
        <w:t xml:space="preserve">O valor glosado pelo concessionário foi de R$ 14,9 milhões sobre a base </w:t>
      </w:r>
      <w:r w:rsidRPr="007D40F7">
        <w:lastRenderedPageBreak/>
        <w:t>apurada de R$ 168,1 milhões</w:t>
      </w:r>
      <w:r w:rsidR="00DC09BF" w:rsidRPr="007D40F7">
        <w:t xml:space="preserve"> no ano de 2012. Assim, a base </w:t>
      </w:r>
      <w:r w:rsidR="007D40F7" w:rsidRPr="007D40F7">
        <w:t xml:space="preserve">estimada pela concessionária </w:t>
      </w:r>
      <w:r w:rsidR="00DC09BF" w:rsidRPr="007D40F7">
        <w:t xml:space="preserve">para fins de projeção do OPEX no período do ciclo tarifário </w:t>
      </w:r>
      <w:r w:rsidR="007D40F7" w:rsidRPr="007D40F7">
        <w:t>monta a quantia</w:t>
      </w:r>
      <w:r w:rsidR="00DC09BF" w:rsidRPr="007D40F7">
        <w:t xml:space="preserve"> de R$ 153,2 milhões, conforme descrito no quadro 4 do ET03 (pág. 17)</w:t>
      </w:r>
      <w:r w:rsidRPr="007D40F7">
        <w:t xml:space="preserve">. </w:t>
      </w:r>
      <w:r w:rsidR="007D40F7" w:rsidRPr="007D40F7">
        <w:t>S</w:t>
      </w:r>
      <w:r w:rsidRPr="007D40F7">
        <w:t>ugerimos</w:t>
      </w:r>
      <w:r w:rsidR="00DC09BF" w:rsidRPr="007D40F7">
        <w:t xml:space="preserve"> ser adequada uma glosa adicional de R$ 1,7 milhão, totalizando</w:t>
      </w:r>
      <w:r w:rsidRPr="007D40F7">
        <w:t xml:space="preserve">, </w:t>
      </w:r>
      <w:r w:rsidR="00DC09BF" w:rsidRPr="007D40F7">
        <w:t xml:space="preserve">portanto, glosa de R$ 16,6 milhões sobre </w:t>
      </w:r>
      <w:r w:rsidR="007D40F7" w:rsidRPr="007D40F7">
        <w:t>o OPEX de 2012</w:t>
      </w:r>
      <w:r w:rsidR="00DC09BF" w:rsidRPr="007D40F7">
        <w:t xml:space="preserve">. Assim, a base </w:t>
      </w:r>
      <w:r w:rsidR="007D40F7" w:rsidRPr="007D40F7">
        <w:t xml:space="preserve">sugerida </w:t>
      </w:r>
      <w:r w:rsidR="00DC09BF" w:rsidRPr="007D40F7">
        <w:t>para</w:t>
      </w:r>
      <w:r w:rsidR="007D40F7" w:rsidRPr="007D40F7">
        <w:t xml:space="preserve"> fins de</w:t>
      </w:r>
      <w:r w:rsidR="00DC09BF" w:rsidRPr="007D40F7">
        <w:t xml:space="preserve"> projeç</w:t>
      </w:r>
      <w:r w:rsidR="007D40F7" w:rsidRPr="007D40F7">
        <w:t>ão</w:t>
      </w:r>
      <w:r w:rsidR="00DC09BF" w:rsidRPr="007D40F7">
        <w:t xml:space="preserve"> d</w:t>
      </w:r>
      <w:r w:rsidR="007D40F7" w:rsidRPr="007D40F7">
        <w:t>o</w:t>
      </w:r>
      <w:r w:rsidR="00DC09BF" w:rsidRPr="007D40F7">
        <w:t xml:space="preserve"> OPEX </w:t>
      </w:r>
      <w:r w:rsidR="007D40F7" w:rsidRPr="007D40F7">
        <w:t xml:space="preserve">é </w:t>
      </w:r>
      <w:r w:rsidR="00DC09BF" w:rsidRPr="007D40F7">
        <w:t>de R$ 151,5 milhões.</w:t>
      </w:r>
    </w:p>
    <w:p w:rsidR="00877CBC" w:rsidRPr="007D40F7" w:rsidRDefault="00877CBC" w:rsidP="00877CBC">
      <w:pPr>
        <w:spacing w:line="360" w:lineRule="auto"/>
        <w:jc w:val="both"/>
      </w:pPr>
      <w:r w:rsidRPr="007D40F7">
        <w:t xml:space="preserve">Ademais, recomendamos redução </w:t>
      </w:r>
      <w:r w:rsidR="00DC09BF" w:rsidRPr="007D40F7">
        <w:t xml:space="preserve">adicional </w:t>
      </w:r>
      <w:r w:rsidRPr="007D40F7">
        <w:t xml:space="preserve">de </w:t>
      </w:r>
      <w:r w:rsidR="00DC09BF" w:rsidRPr="007D40F7">
        <w:t>1,0</w:t>
      </w:r>
      <w:r w:rsidRPr="007D40F7">
        <w:t xml:space="preserve">% ao ano </w:t>
      </w:r>
      <w:r w:rsidR="00DC09BF" w:rsidRPr="007D40F7">
        <w:t xml:space="preserve">sobre </w:t>
      </w:r>
      <w:r w:rsidR="007D40F7" w:rsidRPr="007D40F7">
        <w:t>o</w:t>
      </w:r>
      <w:r w:rsidRPr="007D40F7">
        <w:t xml:space="preserve"> OPEX</w:t>
      </w:r>
      <w:r w:rsidR="00DC09BF" w:rsidRPr="007D40F7">
        <w:t xml:space="preserve"> projetad</w:t>
      </w:r>
      <w:r w:rsidR="007D40F7" w:rsidRPr="007D40F7">
        <w:t>o</w:t>
      </w:r>
      <w:r w:rsidRPr="007D40F7">
        <w:t xml:space="preserve">, </w:t>
      </w:r>
      <w:r w:rsidR="00DC09BF" w:rsidRPr="007D40F7">
        <w:t>conforme considerações descritas no item 2.c desta Nota Técnica, que trata dos</w:t>
      </w:r>
      <w:r w:rsidRPr="007D40F7">
        <w:t xml:space="preserve"> ganhos de eficiência </w:t>
      </w:r>
      <w:r w:rsidR="00DC09BF" w:rsidRPr="007D40F7">
        <w:t>que a concessionária deve almejar</w:t>
      </w:r>
      <w:r w:rsidR="007D40F7" w:rsidRPr="007D40F7">
        <w:t xml:space="preserve"> e da repartição desta entre concessionária e usuários do serviço de água e tratamento de esgoto.</w:t>
      </w:r>
    </w:p>
    <w:p w:rsidR="00877CBC" w:rsidRDefault="00877CBC" w:rsidP="00877CBC">
      <w:pPr>
        <w:spacing w:line="360" w:lineRule="auto"/>
        <w:jc w:val="both"/>
      </w:pPr>
      <w:r w:rsidRPr="007D40F7">
        <w:t>Dado o volume de investimentos necessários para elevar a rede atendida pelo serviço de água e esgoto sanitário durante o período deste ciclo tarifário, os ganhos de tecnologia serão percebidos com maior intensidade a partir do próximo ciclo tarifário, quando os investimentos estarão incorporados e contribuirão para melhorar a produtividade no abastecimento de água e no tratamento do esgoto sanitário.</w:t>
      </w:r>
    </w:p>
    <w:p w:rsidR="00496364" w:rsidRDefault="00496364" w:rsidP="003B5F38">
      <w:pPr>
        <w:spacing w:line="360" w:lineRule="auto"/>
        <w:jc w:val="both"/>
      </w:pPr>
      <w:r>
        <w:t xml:space="preserve">Para fins de projeção do OPEX, </w:t>
      </w:r>
      <w:r w:rsidR="003D42E8">
        <w:t>assumi</w:t>
      </w:r>
      <w:r w:rsidR="00877CBC">
        <w:t>u-se</w:t>
      </w:r>
      <w:r w:rsidR="003D42E8">
        <w:t xml:space="preserve"> a hipótese de que </w:t>
      </w:r>
      <w:r>
        <w:t xml:space="preserve">as despesas da subcategoria administração central </w:t>
      </w:r>
      <w:r w:rsidR="003D42E8">
        <w:t xml:space="preserve">permanecerão </w:t>
      </w:r>
      <w:r w:rsidR="00877CBC">
        <w:t>constantes</w:t>
      </w:r>
      <w:r w:rsidR="003D42E8">
        <w:t xml:space="preserve"> </w:t>
      </w:r>
      <w:r w:rsidR="00877CBC">
        <w:t>no</w:t>
      </w:r>
      <w:r w:rsidR="003D42E8">
        <w:t xml:space="preserve"> período considerado</w:t>
      </w:r>
      <w:r w:rsidR="00877CBC">
        <w:t xml:space="preserve"> para este ciclo tarifário</w:t>
      </w:r>
      <w:r>
        <w:t>. Para as demais</w:t>
      </w:r>
      <w:r w:rsidR="003D42E8">
        <w:t xml:space="preserve"> categorias e subcategorias de despesas</w:t>
      </w:r>
      <w:r>
        <w:t xml:space="preserve">, </w:t>
      </w:r>
      <w:r w:rsidR="003D42E8">
        <w:t>as projeções estão vinculadas a</w:t>
      </w:r>
      <w:r w:rsidR="004C13AE">
        <w:t>o</w:t>
      </w:r>
      <w:r w:rsidR="00877CBC">
        <w:t xml:space="preserve"> desempenho do</w:t>
      </w:r>
      <w:r w:rsidR="004C13AE">
        <w:t xml:space="preserve">s indicadores físicos, </w:t>
      </w:r>
      <w:r w:rsidR="003D42E8">
        <w:t xml:space="preserve">tais </w:t>
      </w:r>
      <w:r w:rsidR="004C13AE">
        <w:t xml:space="preserve">como ligações </w:t>
      </w:r>
      <w:r w:rsidR="00877CBC">
        <w:t>e</w:t>
      </w:r>
      <w:r w:rsidR="004C13AE">
        <w:t xml:space="preserve"> volumes produzidos e </w:t>
      </w:r>
      <w:r w:rsidR="00877CBC">
        <w:t>fatura</w:t>
      </w:r>
      <w:r w:rsidR="004C13AE">
        <w:t>dos</w:t>
      </w:r>
      <w:r w:rsidR="00877CBC">
        <w:t xml:space="preserve"> de água e de esgoto</w:t>
      </w:r>
      <w:r w:rsidR="004C13AE">
        <w:t xml:space="preserve">, que por sua vez, </w:t>
      </w:r>
      <w:r w:rsidR="00877CBC">
        <w:t xml:space="preserve">seguem as hipóteses estabelecidas no ET02, que trata da metodologia utilizada para </w:t>
      </w:r>
      <w:r w:rsidR="004C13AE">
        <w:t>projeç</w:t>
      </w:r>
      <w:r w:rsidR="00877CBC">
        <w:t>ão</w:t>
      </w:r>
      <w:r w:rsidR="004C13AE">
        <w:t xml:space="preserve"> de demanda</w:t>
      </w:r>
      <w:r w:rsidR="00877CBC">
        <w:t>.</w:t>
      </w:r>
    </w:p>
    <w:p w:rsidR="00B05703" w:rsidRDefault="00B05703" w:rsidP="003B5F38">
      <w:pPr>
        <w:spacing w:line="360" w:lineRule="auto"/>
        <w:jc w:val="both"/>
      </w:pPr>
    </w:p>
    <w:p w:rsidR="00A543E5" w:rsidRDefault="00A543E5" w:rsidP="003B5F38">
      <w:pPr>
        <w:spacing w:line="360" w:lineRule="auto"/>
        <w:jc w:val="both"/>
      </w:pPr>
    </w:p>
    <w:p w:rsidR="00A543E5" w:rsidRDefault="00A543E5" w:rsidP="003B5F38">
      <w:pPr>
        <w:spacing w:line="360" w:lineRule="auto"/>
        <w:jc w:val="both"/>
      </w:pPr>
    </w:p>
    <w:p w:rsidR="00A543E5" w:rsidRDefault="00A543E5" w:rsidP="003B5F38">
      <w:pPr>
        <w:spacing w:line="360" w:lineRule="auto"/>
        <w:jc w:val="both"/>
      </w:pPr>
    </w:p>
    <w:p w:rsidR="00625BD5" w:rsidRDefault="00625BD5" w:rsidP="003B5F38">
      <w:pPr>
        <w:spacing w:line="360" w:lineRule="auto"/>
        <w:jc w:val="both"/>
      </w:pPr>
    </w:p>
    <w:p w:rsidR="003B5F38" w:rsidRDefault="003B5F38" w:rsidP="003B5F38">
      <w:pPr>
        <w:pStyle w:val="Ttulo1"/>
        <w:numPr>
          <w:ilvl w:val="0"/>
          <w:numId w:val="15"/>
        </w:numPr>
        <w:spacing w:before="0" w:after="200" w:line="360" w:lineRule="auto"/>
        <w:ind w:left="357" w:hanging="357"/>
        <w:jc w:val="both"/>
      </w:pPr>
      <w:bookmarkStart w:id="14" w:name="_Toc378193742"/>
      <w:r>
        <w:lastRenderedPageBreak/>
        <w:t>CAPEX</w:t>
      </w:r>
      <w:bookmarkEnd w:id="14"/>
    </w:p>
    <w:p w:rsidR="003B5F38" w:rsidRDefault="004317AC" w:rsidP="003B5F38">
      <w:pPr>
        <w:spacing w:line="360" w:lineRule="auto"/>
        <w:jc w:val="both"/>
      </w:pPr>
      <w:r>
        <w:t xml:space="preserve">A estruturação dos investimentos previstos para o ciclo tarifário 2014/2017 está segmentada em abastecimento de água e esgotamento sanitário. </w:t>
      </w:r>
      <w:r w:rsidR="0039000B">
        <w:t xml:space="preserve">O ET04 apresenta </w:t>
      </w:r>
      <w:r w:rsidR="000E47D0">
        <w:t xml:space="preserve">a </w:t>
      </w:r>
      <w:r w:rsidR="0039000B">
        <w:t xml:space="preserve">metodologia utilizada </w:t>
      </w:r>
      <w:r w:rsidR="000E47D0">
        <w:t xml:space="preserve">pela </w:t>
      </w:r>
      <w:proofErr w:type="spellStart"/>
      <w:r w:rsidR="000E47D0">
        <w:t>Foz|Saneatins</w:t>
      </w:r>
      <w:proofErr w:type="spellEnd"/>
      <w:r w:rsidR="000E47D0">
        <w:t xml:space="preserve"> </w:t>
      </w:r>
      <w:r w:rsidR="0039000B">
        <w:t>para fundamentar os valores projetados como investimento</w:t>
      </w:r>
      <w:r w:rsidR="00C828FA">
        <w:t>s</w:t>
      </w:r>
      <w:r w:rsidR="0039000B">
        <w:t xml:space="preserve"> necessário</w:t>
      </w:r>
      <w:r w:rsidR="00C828FA">
        <w:t>s</w:t>
      </w:r>
      <w:r w:rsidR="0039000B">
        <w:t xml:space="preserve"> ao longo do quadriênio 2014/2017</w:t>
      </w:r>
      <w:r w:rsidR="00C828FA">
        <w:t>, assim como as fontes de recursos</w:t>
      </w:r>
      <w:r w:rsidR="0039000B">
        <w:t>.</w:t>
      </w:r>
      <w:r w:rsidR="000E47D0">
        <w:t xml:space="preserve"> Basicamente, os valores </w:t>
      </w:r>
      <w:r w:rsidR="00753FC8">
        <w:t xml:space="preserve">são referenciados no custo per capita ou investimento por habitante (calculado exclusivamente com base nos planos de investimentos dos 11 municípios com PMAE). </w:t>
      </w:r>
    </w:p>
    <w:p w:rsidR="0039000B" w:rsidRDefault="000E47D0" w:rsidP="003B5F38">
      <w:pPr>
        <w:spacing w:line="360" w:lineRule="auto"/>
        <w:jc w:val="both"/>
      </w:pPr>
      <w:r>
        <w:t xml:space="preserve">A NT4 fez uma avaliação do CAPEX com base </w:t>
      </w:r>
      <w:r w:rsidR="00C828FA">
        <w:t>nas</w:t>
      </w:r>
      <w:r>
        <w:t xml:space="preserve"> informações complementares disponibilizadas pela </w:t>
      </w:r>
      <w:proofErr w:type="spellStart"/>
      <w:r>
        <w:t>Foz|Saneatins</w:t>
      </w:r>
      <w:proofErr w:type="spellEnd"/>
      <w:r>
        <w:t xml:space="preserve"> (cartas-consultas referentes a 11 propostas de financiamento enviadas ao Ministério das Cidades) e </w:t>
      </w:r>
      <w:r w:rsidR="00C828FA">
        <w:t>no</w:t>
      </w:r>
      <w:r>
        <w:t xml:space="preserve"> estudo desenvolvido pelo Ministério das Cidades</w:t>
      </w:r>
      <w:r w:rsidR="00914966">
        <w:t>, incorporado no PLANSAB</w:t>
      </w:r>
      <w:r w:rsidR="0039000B">
        <w:t>.</w:t>
      </w:r>
      <w:r w:rsidR="00060118">
        <w:t xml:space="preserve"> </w:t>
      </w:r>
      <w:r w:rsidR="00914966">
        <w:t xml:space="preserve">Considerando que a metodologia para a projeção dos investimentos necessários está baseada no custo per capita, a avaliação </w:t>
      </w:r>
      <w:r w:rsidR="00C828FA">
        <w:t xml:space="preserve">realizada </w:t>
      </w:r>
      <w:r w:rsidR="00914966">
        <w:t xml:space="preserve">na NT4 preservou o mesmo enfoque do ET04. O quadro a seguir mostra os valores apurados </w:t>
      </w:r>
      <w:r w:rsidR="00376F31">
        <w:t xml:space="preserve">tanto </w:t>
      </w:r>
      <w:r w:rsidR="00914966">
        <w:t xml:space="preserve">pelo ET04 </w:t>
      </w:r>
      <w:r w:rsidR="00376F31">
        <w:t xml:space="preserve">quanto </w:t>
      </w:r>
      <w:r w:rsidR="00914966">
        <w:t>pela NT4:</w:t>
      </w:r>
    </w:p>
    <w:p w:rsidR="0073075E" w:rsidRDefault="0073075E" w:rsidP="00C65A58">
      <w:pPr>
        <w:jc w:val="center"/>
        <w:rPr>
          <w:b/>
        </w:rPr>
      </w:pPr>
    </w:p>
    <w:p w:rsidR="00C65A58" w:rsidRDefault="00C65A58" w:rsidP="00C65A58">
      <w:pPr>
        <w:jc w:val="center"/>
        <w:rPr>
          <w:b/>
        </w:rPr>
      </w:pPr>
      <w:r w:rsidRPr="008056C7">
        <w:rPr>
          <w:b/>
        </w:rPr>
        <w:t xml:space="preserve">Quadro </w:t>
      </w:r>
      <w:r w:rsidR="00A87C3E">
        <w:rPr>
          <w:b/>
        </w:rPr>
        <w:t>4</w:t>
      </w:r>
      <w:r w:rsidRPr="008056C7">
        <w:rPr>
          <w:b/>
        </w:rPr>
        <w:t xml:space="preserve"> – diferenças de custo de investimento</w:t>
      </w:r>
    </w:p>
    <w:tbl>
      <w:tblPr>
        <w:tblW w:w="0" w:type="auto"/>
        <w:tblInd w:w="93" w:type="dxa"/>
        <w:tblLook w:val="04A0"/>
      </w:tblPr>
      <w:tblGrid>
        <w:gridCol w:w="3115"/>
        <w:gridCol w:w="1783"/>
        <w:gridCol w:w="1783"/>
        <w:gridCol w:w="1825"/>
      </w:tblGrid>
      <w:tr w:rsidR="00C65A58" w:rsidRPr="00412E8C" w:rsidTr="00C168CD">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A58" w:rsidRPr="00412E8C" w:rsidRDefault="00C65A58" w:rsidP="00C168CD">
            <w:pPr>
              <w:jc w:val="center"/>
              <w:rPr>
                <w:rFonts w:asciiTheme="majorHAnsi" w:eastAsia="Times New Roman" w:hAnsiTheme="majorHAnsi"/>
                <w:color w:val="000000"/>
                <w:sz w:val="20"/>
                <w:szCs w:val="20"/>
              </w:rPr>
            </w:pPr>
            <w:r w:rsidRPr="00412E8C">
              <w:rPr>
                <w:rFonts w:asciiTheme="majorHAnsi" w:eastAsia="Times New Roman" w:hAnsiTheme="majorHAnsi"/>
                <w:color w:val="000000"/>
                <w:sz w:val="20"/>
                <w:szCs w:val="20"/>
              </w:rPr>
              <w:t>SANEATINS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65A58" w:rsidRPr="00412E8C" w:rsidRDefault="00C65A58" w:rsidP="00C168CD">
            <w:pPr>
              <w:jc w:val="center"/>
              <w:rPr>
                <w:rFonts w:asciiTheme="majorHAnsi" w:eastAsia="Times New Roman" w:hAnsiTheme="majorHAnsi"/>
                <w:color w:val="000000"/>
                <w:sz w:val="20"/>
                <w:szCs w:val="20"/>
              </w:rPr>
            </w:pPr>
            <w:r w:rsidRPr="00412E8C">
              <w:rPr>
                <w:rFonts w:asciiTheme="majorHAnsi" w:eastAsia="Times New Roman" w:hAnsiTheme="majorHAnsi"/>
                <w:color w:val="000000"/>
                <w:sz w:val="20"/>
                <w:szCs w:val="20"/>
              </w:rPr>
              <w:t>ET 04 CAPEX</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65A58" w:rsidRPr="00412E8C" w:rsidRDefault="00C65A58" w:rsidP="00C168CD">
            <w:pPr>
              <w:jc w:val="center"/>
              <w:rPr>
                <w:rFonts w:asciiTheme="majorHAnsi" w:eastAsia="Times New Roman" w:hAnsiTheme="majorHAnsi"/>
                <w:color w:val="000000"/>
                <w:sz w:val="20"/>
                <w:szCs w:val="20"/>
              </w:rPr>
            </w:pPr>
            <w:r w:rsidRPr="00412E8C">
              <w:rPr>
                <w:rFonts w:asciiTheme="majorHAnsi" w:eastAsia="Times New Roman" w:hAnsiTheme="majorHAnsi"/>
                <w:color w:val="000000"/>
                <w:sz w:val="20"/>
                <w:szCs w:val="20"/>
              </w:rPr>
              <w:t>NT CAPEX</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65A58" w:rsidRPr="00412E8C" w:rsidRDefault="00C65A58" w:rsidP="00C168CD">
            <w:pPr>
              <w:jc w:val="center"/>
              <w:rPr>
                <w:rFonts w:asciiTheme="majorHAnsi" w:eastAsia="Times New Roman" w:hAnsiTheme="majorHAnsi"/>
                <w:color w:val="000000"/>
                <w:sz w:val="20"/>
                <w:szCs w:val="20"/>
              </w:rPr>
            </w:pPr>
            <w:r w:rsidRPr="00412E8C">
              <w:rPr>
                <w:rFonts w:asciiTheme="majorHAnsi" w:eastAsia="Times New Roman" w:hAnsiTheme="majorHAnsi"/>
                <w:color w:val="000000"/>
                <w:sz w:val="20"/>
                <w:szCs w:val="20"/>
              </w:rPr>
              <w:t>DIFERENÇAS</w:t>
            </w:r>
          </w:p>
        </w:tc>
      </w:tr>
      <w:tr w:rsidR="00C65A58" w:rsidRPr="00412E8C" w:rsidTr="00C168CD">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65A58" w:rsidRPr="00412E8C" w:rsidRDefault="00C65A58" w:rsidP="00C168CD">
            <w:pPr>
              <w:jc w:val="center"/>
              <w:rPr>
                <w:rFonts w:asciiTheme="majorHAnsi" w:eastAsia="Times New Roman" w:hAnsiTheme="majorHAnsi" w:cs="Arial"/>
                <w:color w:val="000000"/>
                <w:sz w:val="20"/>
                <w:szCs w:val="20"/>
              </w:rPr>
            </w:pPr>
            <w:r w:rsidRPr="00412E8C">
              <w:rPr>
                <w:rFonts w:asciiTheme="majorHAnsi" w:eastAsia="Times New Roman" w:hAnsiTheme="majorHAnsi" w:cs="Arial"/>
                <w:color w:val="000000"/>
                <w:sz w:val="20"/>
                <w:szCs w:val="20"/>
              </w:rPr>
              <w:t>11 municípios com PMAE/ água</w:t>
            </w:r>
          </w:p>
        </w:tc>
        <w:tc>
          <w:tcPr>
            <w:tcW w:w="0" w:type="auto"/>
            <w:tcBorders>
              <w:top w:val="nil"/>
              <w:left w:val="nil"/>
              <w:bottom w:val="single" w:sz="4" w:space="0" w:color="auto"/>
              <w:right w:val="single" w:sz="4" w:space="0" w:color="auto"/>
            </w:tcBorders>
            <w:shd w:val="clear" w:color="auto" w:fill="auto"/>
            <w:noWrap/>
            <w:vAlign w:val="center"/>
            <w:hideMark/>
          </w:tcPr>
          <w:p w:rsidR="00C65A58" w:rsidRPr="00412E8C" w:rsidRDefault="00C65A58" w:rsidP="00C168CD">
            <w:pPr>
              <w:jc w:val="center"/>
              <w:rPr>
                <w:rFonts w:asciiTheme="majorHAnsi" w:eastAsia="Times New Roman" w:hAnsiTheme="majorHAnsi"/>
                <w:color w:val="000000"/>
                <w:sz w:val="20"/>
                <w:szCs w:val="20"/>
              </w:rPr>
            </w:pPr>
            <w:r w:rsidRPr="00412E8C">
              <w:rPr>
                <w:rFonts w:asciiTheme="majorHAnsi" w:eastAsia="Times New Roman" w:hAnsiTheme="majorHAnsi"/>
                <w:color w:val="000000"/>
                <w:sz w:val="20"/>
                <w:szCs w:val="20"/>
              </w:rPr>
              <w:t>R$149.300.506,00</w:t>
            </w:r>
          </w:p>
        </w:tc>
        <w:tc>
          <w:tcPr>
            <w:tcW w:w="0" w:type="auto"/>
            <w:tcBorders>
              <w:top w:val="nil"/>
              <w:left w:val="nil"/>
              <w:bottom w:val="single" w:sz="4" w:space="0" w:color="auto"/>
              <w:right w:val="single" w:sz="4" w:space="0" w:color="auto"/>
            </w:tcBorders>
            <w:shd w:val="clear" w:color="auto" w:fill="auto"/>
            <w:noWrap/>
            <w:vAlign w:val="center"/>
            <w:hideMark/>
          </w:tcPr>
          <w:p w:rsidR="00C65A58" w:rsidRPr="00412E8C" w:rsidRDefault="00C65A58" w:rsidP="00C168CD">
            <w:pPr>
              <w:jc w:val="center"/>
              <w:rPr>
                <w:rFonts w:asciiTheme="majorHAnsi" w:eastAsia="Times New Roman" w:hAnsiTheme="majorHAnsi"/>
                <w:color w:val="000000"/>
                <w:sz w:val="20"/>
                <w:szCs w:val="20"/>
              </w:rPr>
            </w:pPr>
            <w:r w:rsidRPr="00412E8C">
              <w:rPr>
                <w:rFonts w:asciiTheme="majorHAnsi" w:eastAsia="Times New Roman" w:hAnsiTheme="majorHAnsi"/>
                <w:color w:val="000000"/>
                <w:sz w:val="20"/>
                <w:szCs w:val="20"/>
              </w:rPr>
              <w:t>R$164.234.751,97</w:t>
            </w:r>
          </w:p>
        </w:tc>
        <w:tc>
          <w:tcPr>
            <w:tcW w:w="0" w:type="auto"/>
            <w:tcBorders>
              <w:top w:val="nil"/>
              <w:left w:val="nil"/>
              <w:bottom w:val="single" w:sz="4" w:space="0" w:color="auto"/>
              <w:right w:val="single" w:sz="4" w:space="0" w:color="auto"/>
            </w:tcBorders>
            <w:shd w:val="clear" w:color="auto" w:fill="auto"/>
            <w:noWrap/>
            <w:vAlign w:val="center"/>
            <w:hideMark/>
          </w:tcPr>
          <w:p w:rsidR="00C65A58" w:rsidRPr="00412E8C" w:rsidRDefault="00C65A58" w:rsidP="00C168CD">
            <w:pPr>
              <w:jc w:val="center"/>
              <w:rPr>
                <w:rFonts w:asciiTheme="majorHAnsi" w:eastAsia="Times New Roman" w:hAnsiTheme="majorHAnsi"/>
                <w:color w:val="000000"/>
                <w:sz w:val="20"/>
                <w:szCs w:val="20"/>
              </w:rPr>
            </w:pPr>
            <w:r w:rsidRPr="00412E8C">
              <w:rPr>
                <w:rFonts w:asciiTheme="majorHAnsi" w:eastAsia="Times New Roman" w:hAnsiTheme="majorHAnsi"/>
                <w:color w:val="000000"/>
                <w:sz w:val="20"/>
                <w:szCs w:val="20"/>
              </w:rPr>
              <w:t>R$(14.934.245,97)</w:t>
            </w:r>
          </w:p>
        </w:tc>
      </w:tr>
      <w:tr w:rsidR="00C65A58" w:rsidRPr="00412E8C" w:rsidTr="00C168CD">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65A58" w:rsidRPr="00412E8C" w:rsidRDefault="00C65A58" w:rsidP="00C168CD">
            <w:pPr>
              <w:jc w:val="center"/>
              <w:rPr>
                <w:rFonts w:asciiTheme="majorHAnsi" w:eastAsia="Times New Roman" w:hAnsiTheme="majorHAnsi" w:cs="Arial"/>
                <w:color w:val="000000"/>
                <w:sz w:val="20"/>
                <w:szCs w:val="20"/>
              </w:rPr>
            </w:pPr>
            <w:r w:rsidRPr="00412E8C">
              <w:rPr>
                <w:rFonts w:asciiTheme="majorHAnsi" w:eastAsia="Times New Roman" w:hAnsiTheme="majorHAnsi" w:cs="Arial"/>
                <w:color w:val="000000"/>
                <w:sz w:val="20"/>
                <w:szCs w:val="20"/>
              </w:rPr>
              <w:t>11 municípios com PMAE/ esgoto</w:t>
            </w:r>
          </w:p>
        </w:tc>
        <w:tc>
          <w:tcPr>
            <w:tcW w:w="0" w:type="auto"/>
            <w:tcBorders>
              <w:top w:val="nil"/>
              <w:left w:val="nil"/>
              <w:bottom w:val="single" w:sz="4" w:space="0" w:color="auto"/>
              <w:right w:val="single" w:sz="4" w:space="0" w:color="auto"/>
            </w:tcBorders>
            <w:shd w:val="clear" w:color="auto" w:fill="auto"/>
            <w:noWrap/>
            <w:vAlign w:val="center"/>
            <w:hideMark/>
          </w:tcPr>
          <w:p w:rsidR="00C65A58" w:rsidRPr="00412E8C" w:rsidRDefault="00C65A58" w:rsidP="00C168CD">
            <w:pPr>
              <w:jc w:val="center"/>
              <w:rPr>
                <w:rFonts w:asciiTheme="majorHAnsi" w:eastAsia="Times New Roman" w:hAnsiTheme="majorHAnsi"/>
                <w:color w:val="000000"/>
                <w:sz w:val="20"/>
                <w:szCs w:val="20"/>
              </w:rPr>
            </w:pPr>
            <w:r w:rsidRPr="00412E8C">
              <w:rPr>
                <w:rFonts w:asciiTheme="majorHAnsi" w:eastAsia="Times New Roman" w:hAnsiTheme="majorHAnsi"/>
                <w:color w:val="000000"/>
                <w:sz w:val="20"/>
                <w:szCs w:val="20"/>
              </w:rPr>
              <w:t>R$388.877.926,00</w:t>
            </w:r>
          </w:p>
        </w:tc>
        <w:tc>
          <w:tcPr>
            <w:tcW w:w="0" w:type="auto"/>
            <w:tcBorders>
              <w:top w:val="nil"/>
              <w:left w:val="nil"/>
              <w:bottom w:val="single" w:sz="4" w:space="0" w:color="auto"/>
              <w:right w:val="single" w:sz="4" w:space="0" w:color="auto"/>
            </w:tcBorders>
            <w:shd w:val="clear" w:color="auto" w:fill="auto"/>
            <w:noWrap/>
            <w:vAlign w:val="center"/>
            <w:hideMark/>
          </w:tcPr>
          <w:p w:rsidR="00C65A58" w:rsidRPr="00412E8C" w:rsidRDefault="00C65A58" w:rsidP="00C168CD">
            <w:pPr>
              <w:jc w:val="center"/>
              <w:rPr>
                <w:rFonts w:asciiTheme="majorHAnsi" w:eastAsia="Times New Roman" w:hAnsiTheme="majorHAnsi"/>
                <w:color w:val="000000"/>
                <w:sz w:val="20"/>
                <w:szCs w:val="20"/>
              </w:rPr>
            </w:pPr>
            <w:r w:rsidRPr="00412E8C">
              <w:rPr>
                <w:rFonts w:asciiTheme="majorHAnsi" w:eastAsia="Times New Roman" w:hAnsiTheme="majorHAnsi"/>
                <w:color w:val="000000"/>
                <w:sz w:val="20"/>
                <w:szCs w:val="20"/>
              </w:rPr>
              <w:t>R$388.657.717,88</w:t>
            </w:r>
          </w:p>
        </w:tc>
        <w:tc>
          <w:tcPr>
            <w:tcW w:w="0" w:type="auto"/>
            <w:tcBorders>
              <w:top w:val="nil"/>
              <w:left w:val="nil"/>
              <w:bottom w:val="single" w:sz="4" w:space="0" w:color="auto"/>
              <w:right w:val="single" w:sz="4" w:space="0" w:color="auto"/>
            </w:tcBorders>
            <w:shd w:val="clear" w:color="auto" w:fill="auto"/>
            <w:noWrap/>
            <w:vAlign w:val="center"/>
            <w:hideMark/>
          </w:tcPr>
          <w:p w:rsidR="00C65A58" w:rsidRPr="00412E8C" w:rsidRDefault="00C65A58" w:rsidP="00C168CD">
            <w:pPr>
              <w:jc w:val="center"/>
              <w:rPr>
                <w:rFonts w:asciiTheme="majorHAnsi" w:eastAsia="Times New Roman" w:hAnsiTheme="majorHAnsi"/>
                <w:color w:val="000000"/>
                <w:sz w:val="20"/>
                <w:szCs w:val="20"/>
              </w:rPr>
            </w:pPr>
            <w:r w:rsidRPr="00412E8C">
              <w:rPr>
                <w:rFonts w:asciiTheme="majorHAnsi" w:eastAsia="Times New Roman" w:hAnsiTheme="majorHAnsi"/>
                <w:color w:val="000000"/>
                <w:sz w:val="20"/>
                <w:szCs w:val="20"/>
              </w:rPr>
              <w:t>R$220.208,12</w:t>
            </w:r>
          </w:p>
        </w:tc>
      </w:tr>
      <w:tr w:rsidR="00C65A58" w:rsidRPr="00412E8C" w:rsidTr="00C168CD">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65A58" w:rsidRPr="00412E8C" w:rsidRDefault="00C65A58" w:rsidP="00C168CD">
            <w:pPr>
              <w:jc w:val="center"/>
              <w:rPr>
                <w:rFonts w:asciiTheme="majorHAnsi" w:eastAsia="Times New Roman" w:hAnsiTheme="majorHAnsi" w:cs="Arial"/>
                <w:color w:val="000000"/>
                <w:sz w:val="20"/>
                <w:szCs w:val="20"/>
              </w:rPr>
            </w:pPr>
            <w:proofErr w:type="gramStart"/>
            <w:r w:rsidRPr="00412E8C">
              <w:rPr>
                <w:rFonts w:asciiTheme="majorHAnsi" w:eastAsia="Times New Roman" w:hAnsiTheme="majorHAnsi" w:cs="Arial"/>
                <w:color w:val="000000"/>
                <w:sz w:val="20"/>
                <w:szCs w:val="20"/>
              </w:rPr>
              <w:t>água</w:t>
            </w:r>
            <w:proofErr w:type="gramEnd"/>
            <w:r w:rsidRPr="00412E8C">
              <w:rPr>
                <w:rFonts w:asciiTheme="majorHAnsi" w:eastAsia="Times New Roman" w:hAnsiTheme="majorHAnsi" w:cs="Arial"/>
                <w:color w:val="000000"/>
                <w:sz w:val="20"/>
                <w:szCs w:val="20"/>
              </w:rPr>
              <w:t xml:space="preserve"> + esgoto</w:t>
            </w:r>
          </w:p>
        </w:tc>
        <w:tc>
          <w:tcPr>
            <w:tcW w:w="0" w:type="auto"/>
            <w:tcBorders>
              <w:top w:val="nil"/>
              <w:left w:val="nil"/>
              <w:bottom w:val="single" w:sz="4" w:space="0" w:color="auto"/>
              <w:right w:val="single" w:sz="4" w:space="0" w:color="auto"/>
            </w:tcBorders>
            <w:shd w:val="clear" w:color="auto" w:fill="auto"/>
            <w:noWrap/>
            <w:vAlign w:val="center"/>
            <w:hideMark/>
          </w:tcPr>
          <w:p w:rsidR="00C65A58" w:rsidRPr="00412E8C" w:rsidRDefault="00C65A58" w:rsidP="00C168CD">
            <w:pPr>
              <w:jc w:val="center"/>
              <w:rPr>
                <w:rFonts w:asciiTheme="majorHAnsi" w:eastAsia="Times New Roman" w:hAnsiTheme="majorHAnsi"/>
                <w:color w:val="000000"/>
                <w:sz w:val="20"/>
                <w:szCs w:val="20"/>
              </w:rPr>
            </w:pPr>
            <w:r w:rsidRPr="00412E8C">
              <w:rPr>
                <w:rFonts w:asciiTheme="majorHAnsi" w:eastAsia="Times New Roman" w:hAnsiTheme="majorHAnsi"/>
                <w:color w:val="000000"/>
                <w:sz w:val="20"/>
                <w:szCs w:val="20"/>
              </w:rPr>
              <w:t>R$538.178.432,00</w:t>
            </w:r>
          </w:p>
        </w:tc>
        <w:tc>
          <w:tcPr>
            <w:tcW w:w="0" w:type="auto"/>
            <w:tcBorders>
              <w:top w:val="nil"/>
              <w:left w:val="nil"/>
              <w:bottom w:val="single" w:sz="4" w:space="0" w:color="auto"/>
              <w:right w:val="single" w:sz="4" w:space="0" w:color="auto"/>
            </w:tcBorders>
            <w:shd w:val="clear" w:color="auto" w:fill="auto"/>
            <w:noWrap/>
            <w:vAlign w:val="center"/>
            <w:hideMark/>
          </w:tcPr>
          <w:p w:rsidR="00C65A58" w:rsidRPr="00412E8C" w:rsidRDefault="00C65A58" w:rsidP="00C168CD">
            <w:pPr>
              <w:jc w:val="center"/>
              <w:rPr>
                <w:rFonts w:asciiTheme="majorHAnsi" w:eastAsia="Times New Roman" w:hAnsiTheme="majorHAnsi"/>
                <w:color w:val="000000"/>
                <w:sz w:val="20"/>
                <w:szCs w:val="20"/>
              </w:rPr>
            </w:pPr>
            <w:r w:rsidRPr="00412E8C">
              <w:rPr>
                <w:rFonts w:asciiTheme="majorHAnsi" w:eastAsia="Times New Roman" w:hAnsiTheme="majorHAnsi"/>
                <w:color w:val="000000"/>
                <w:sz w:val="20"/>
                <w:szCs w:val="20"/>
              </w:rPr>
              <w:t>R$552.892.469,85</w:t>
            </w:r>
          </w:p>
        </w:tc>
        <w:tc>
          <w:tcPr>
            <w:tcW w:w="0" w:type="auto"/>
            <w:tcBorders>
              <w:top w:val="nil"/>
              <w:left w:val="nil"/>
              <w:bottom w:val="single" w:sz="4" w:space="0" w:color="auto"/>
              <w:right w:val="single" w:sz="4" w:space="0" w:color="auto"/>
            </w:tcBorders>
            <w:shd w:val="clear" w:color="auto" w:fill="auto"/>
            <w:noWrap/>
            <w:vAlign w:val="center"/>
            <w:hideMark/>
          </w:tcPr>
          <w:p w:rsidR="00C65A58" w:rsidRPr="00412E8C" w:rsidRDefault="00C65A58" w:rsidP="00C168CD">
            <w:pPr>
              <w:jc w:val="center"/>
              <w:rPr>
                <w:rFonts w:asciiTheme="majorHAnsi" w:eastAsia="Times New Roman" w:hAnsiTheme="majorHAnsi"/>
                <w:color w:val="000000"/>
                <w:sz w:val="20"/>
                <w:szCs w:val="20"/>
              </w:rPr>
            </w:pPr>
            <w:r w:rsidRPr="00412E8C">
              <w:rPr>
                <w:rFonts w:asciiTheme="majorHAnsi" w:eastAsia="Times New Roman" w:hAnsiTheme="majorHAnsi"/>
                <w:color w:val="000000"/>
                <w:sz w:val="20"/>
                <w:szCs w:val="20"/>
              </w:rPr>
              <w:t>R$(14.714.037,85)</w:t>
            </w:r>
          </w:p>
        </w:tc>
      </w:tr>
      <w:tr w:rsidR="00C65A58" w:rsidRPr="00412E8C" w:rsidTr="00C168CD">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65A58" w:rsidRPr="00412E8C" w:rsidRDefault="00C65A58" w:rsidP="00C168CD">
            <w:pPr>
              <w:jc w:val="center"/>
              <w:rPr>
                <w:rFonts w:asciiTheme="majorHAnsi" w:eastAsia="Times New Roman" w:hAnsiTheme="majorHAnsi" w:cs="Arial"/>
                <w:color w:val="000000"/>
                <w:sz w:val="20"/>
                <w:szCs w:val="20"/>
              </w:rPr>
            </w:pPr>
            <w:r w:rsidRPr="00412E8C">
              <w:rPr>
                <w:rFonts w:asciiTheme="majorHAnsi" w:eastAsia="Times New Roman" w:hAnsiTheme="majorHAnsi" w:cs="Arial"/>
                <w:color w:val="000000"/>
                <w:sz w:val="20"/>
                <w:szCs w:val="20"/>
              </w:rPr>
              <w:t>36 municípios SEM PMAE/ água</w:t>
            </w:r>
          </w:p>
        </w:tc>
        <w:tc>
          <w:tcPr>
            <w:tcW w:w="0" w:type="auto"/>
            <w:tcBorders>
              <w:top w:val="nil"/>
              <w:left w:val="nil"/>
              <w:bottom w:val="single" w:sz="4" w:space="0" w:color="auto"/>
              <w:right w:val="single" w:sz="4" w:space="0" w:color="auto"/>
            </w:tcBorders>
            <w:shd w:val="clear" w:color="auto" w:fill="auto"/>
            <w:noWrap/>
            <w:vAlign w:val="center"/>
            <w:hideMark/>
          </w:tcPr>
          <w:p w:rsidR="00C65A58" w:rsidRPr="00412E8C" w:rsidRDefault="00C65A58" w:rsidP="00C168CD">
            <w:pPr>
              <w:jc w:val="center"/>
              <w:rPr>
                <w:rFonts w:asciiTheme="majorHAnsi" w:eastAsia="Times New Roman" w:hAnsiTheme="majorHAnsi"/>
                <w:color w:val="000000"/>
                <w:sz w:val="20"/>
                <w:szCs w:val="20"/>
              </w:rPr>
            </w:pPr>
            <w:r w:rsidRPr="00412E8C">
              <w:rPr>
                <w:rFonts w:asciiTheme="majorHAnsi" w:eastAsia="Times New Roman" w:hAnsiTheme="majorHAnsi"/>
                <w:color w:val="000000"/>
                <w:sz w:val="20"/>
                <w:szCs w:val="20"/>
              </w:rPr>
              <w:t>R$42.977.765,00</w:t>
            </w:r>
          </w:p>
        </w:tc>
        <w:tc>
          <w:tcPr>
            <w:tcW w:w="0" w:type="auto"/>
            <w:tcBorders>
              <w:top w:val="nil"/>
              <w:left w:val="nil"/>
              <w:bottom w:val="single" w:sz="4" w:space="0" w:color="auto"/>
              <w:right w:val="single" w:sz="4" w:space="0" w:color="auto"/>
            </w:tcBorders>
            <w:shd w:val="clear" w:color="auto" w:fill="auto"/>
            <w:noWrap/>
            <w:vAlign w:val="center"/>
            <w:hideMark/>
          </w:tcPr>
          <w:p w:rsidR="00C65A58" w:rsidRPr="00412E8C" w:rsidRDefault="00C65A58" w:rsidP="00C168CD">
            <w:pPr>
              <w:jc w:val="center"/>
              <w:rPr>
                <w:rFonts w:asciiTheme="majorHAnsi" w:eastAsia="Times New Roman" w:hAnsiTheme="majorHAnsi"/>
                <w:color w:val="000000"/>
                <w:sz w:val="20"/>
                <w:szCs w:val="20"/>
              </w:rPr>
            </w:pPr>
            <w:r w:rsidRPr="00412E8C">
              <w:rPr>
                <w:rFonts w:asciiTheme="majorHAnsi" w:eastAsia="Times New Roman" w:hAnsiTheme="majorHAnsi"/>
                <w:color w:val="000000"/>
                <w:sz w:val="20"/>
                <w:szCs w:val="20"/>
              </w:rPr>
              <w:t>R$39.956.266,38</w:t>
            </w:r>
          </w:p>
        </w:tc>
        <w:tc>
          <w:tcPr>
            <w:tcW w:w="0" w:type="auto"/>
            <w:tcBorders>
              <w:top w:val="nil"/>
              <w:left w:val="nil"/>
              <w:bottom w:val="single" w:sz="4" w:space="0" w:color="auto"/>
              <w:right w:val="single" w:sz="4" w:space="0" w:color="auto"/>
            </w:tcBorders>
            <w:shd w:val="clear" w:color="auto" w:fill="auto"/>
            <w:noWrap/>
            <w:vAlign w:val="center"/>
            <w:hideMark/>
          </w:tcPr>
          <w:p w:rsidR="00C65A58" w:rsidRPr="00412E8C" w:rsidRDefault="00C65A58" w:rsidP="00C168CD">
            <w:pPr>
              <w:jc w:val="center"/>
              <w:rPr>
                <w:rFonts w:asciiTheme="majorHAnsi" w:eastAsia="Times New Roman" w:hAnsiTheme="majorHAnsi"/>
                <w:color w:val="000000"/>
                <w:sz w:val="20"/>
                <w:szCs w:val="20"/>
              </w:rPr>
            </w:pPr>
            <w:r w:rsidRPr="00412E8C">
              <w:rPr>
                <w:rFonts w:asciiTheme="majorHAnsi" w:eastAsia="Times New Roman" w:hAnsiTheme="majorHAnsi"/>
                <w:color w:val="000000"/>
                <w:sz w:val="20"/>
                <w:szCs w:val="20"/>
              </w:rPr>
              <w:t>R$3.021.498,62</w:t>
            </w:r>
          </w:p>
        </w:tc>
      </w:tr>
      <w:tr w:rsidR="00C65A58" w:rsidRPr="00412E8C" w:rsidTr="00C168CD">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65A58" w:rsidRPr="00412E8C" w:rsidRDefault="00C65A58" w:rsidP="00C168CD">
            <w:pPr>
              <w:jc w:val="center"/>
              <w:rPr>
                <w:rFonts w:asciiTheme="majorHAnsi" w:eastAsia="Times New Roman" w:hAnsiTheme="majorHAnsi" w:cs="Arial"/>
                <w:color w:val="000000"/>
                <w:sz w:val="20"/>
                <w:szCs w:val="20"/>
              </w:rPr>
            </w:pPr>
            <w:r w:rsidRPr="00412E8C">
              <w:rPr>
                <w:rFonts w:asciiTheme="majorHAnsi" w:eastAsia="Times New Roman" w:hAnsiTheme="majorHAnsi" w:cs="Arial"/>
                <w:color w:val="000000"/>
                <w:sz w:val="20"/>
                <w:szCs w:val="20"/>
              </w:rPr>
              <w:t>36 municípios SEM PMAE/ esgoto</w:t>
            </w:r>
          </w:p>
        </w:tc>
        <w:tc>
          <w:tcPr>
            <w:tcW w:w="0" w:type="auto"/>
            <w:tcBorders>
              <w:top w:val="nil"/>
              <w:left w:val="nil"/>
              <w:bottom w:val="single" w:sz="4" w:space="0" w:color="auto"/>
              <w:right w:val="single" w:sz="4" w:space="0" w:color="auto"/>
            </w:tcBorders>
            <w:shd w:val="clear" w:color="auto" w:fill="auto"/>
            <w:noWrap/>
            <w:vAlign w:val="center"/>
            <w:hideMark/>
          </w:tcPr>
          <w:p w:rsidR="00C65A58" w:rsidRPr="00412E8C" w:rsidRDefault="00C65A58" w:rsidP="00C168CD">
            <w:pPr>
              <w:jc w:val="center"/>
              <w:rPr>
                <w:rFonts w:asciiTheme="majorHAnsi" w:eastAsia="Times New Roman" w:hAnsiTheme="majorHAnsi"/>
                <w:color w:val="000000"/>
                <w:sz w:val="20"/>
                <w:szCs w:val="20"/>
              </w:rPr>
            </w:pPr>
            <w:r w:rsidRPr="00412E8C">
              <w:rPr>
                <w:rFonts w:asciiTheme="majorHAnsi" w:eastAsia="Times New Roman" w:hAnsiTheme="majorHAnsi"/>
                <w:color w:val="000000"/>
                <w:sz w:val="20"/>
                <w:szCs w:val="20"/>
              </w:rPr>
              <w:t>R$163.229.900,00</w:t>
            </w:r>
          </w:p>
        </w:tc>
        <w:tc>
          <w:tcPr>
            <w:tcW w:w="0" w:type="auto"/>
            <w:tcBorders>
              <w:top w:val="nil"/>
              <w:left w:val="nil"/>
              <w:bottom w:val="single" w:sz="4" w:space="0" w:color="auto"/>
              <w:right w:val="single" w:sz="4" w:space="0" w:color="auto"/>
            </w:tcBorders>
            <w:shd w:val="clear" w:color="auto" w:fill="auto"/>
            <w:noWrap/>
            <w:vAlign w:val="center"/>
            <w:hideMark/>
          </w:tcPr>
          <w:p w:rsidR="00C65A58" w:rsidRPr="00412E8C" w:rsidRDefault="00C65A58" w:rsidP="00C168CD">
            <w:pPr>
              <w:jc w:val="center"/>
              <w:rPr>
                <w:rFonts w:asciiTheme="majorHAnsi" w:eastAsia="Times New Roman" w:hAnsiTheme="majorHAnsi"/>
                <w:color w:val="000000"/>
                <w:sz w:val="20"/>
                <w:szCs w:val="20"/>
              </w:rPr>
            </w:pPr>
            <w:r w:rsidRPr="00412E8C">
              <w:rPr>
                <w:rFonts w:asciiTheme="majorHAnsi" w:eastAsia="Times New Roman" w:hAnsiTheme="majorHAnsi"/>
                <w:color w:val="000000"/>
                <w:sz w:val="20"/>
                <w:szCs w:val="20"/>
              </w:rPr>
              <w:t>R$147.651.885,90</w:t>
            </w:r>
          </w:p>
        </w:tc>
        <w:tc>
          <w:tcPr>
            <w:tcW w:w="0" w:type="auto"/>
            <w:tcBorders>
              <w:top w:val="nil"/>
              <w:left w:val="nil"/>
              <w:bottom w:val="single" w:sz="4" w:space="0" w:color="auto"/>
              <w:right w:val="single" w:sz="4" w:space="0" w:color="auto"/>
            </w:tcBorders>
            <w:shd w:val="clear" w:color="auto" w:fill="auto"/>
            <w:noWrap/>
            <w:vAlign w:val="center"/>
            <w:hideMark/>
          </w:tcPr>
          <w:p w:rsidR="00C65A58" w:rsidRPr="00412E8C" w:rsidRDefault="00C65A58" w:rsidP="00C168CD">
            <w:pPr>
              <w:jc w:val="center"/>
              <w:rPr>
                <w:rFonts w:asciiTheme="majorHAnsi" w:eastAsia="Times New Roman" w:hAnsiTheme="majorHAnsi"/>
                <w:color w:val="000000"/>
                <w:sz w:val="20"/>
                <w:szCs w:val="20"/>
              </w:rPr>
            </w:pPr>
            <w:r w:rsidRPr="00412E8C">
              <w:rPr>
                <w:rFonts w:asciiTheme="majorHAnsi" w:eastAsia="Times New Roman" w:hAnsiTheme="majorHAnsi"/>
                <w:color w:val="000000"/>
                <w:sz w:val="20"/>
                <w:szCs w:val="20"/>
              </w:rPr>
              <w:t>R$15.578.014,10</w:t>
            </w:r>
          </w:p>
        </w:tc>
      </w:tr>
      <w:tr w:rsidR="00C65A58" w:rsidRPr="00412E8C" w:rsidTr="00C168CD">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65A58" w:rsidRPr="00412E8C" w:rsidRDefault="00C65A58" w:rsidP="00C168CD">
            <w:pPr>
              <w:jc w:val="center"/>
              <w:rPr>
                <w:rFonts w:asciiTheme="majorHAnsi" w:eastAsia="Times New Roman" w:hAnsiTheme="majorHAnsi" w:cs="Arial"/>
                <w:color w:val="000000"/>
                <w:sz w:val="20"/>
                <w:szCs w:val="20"/>
              </w:rPr>
            </w:pPr>
            <w:proofErr w:type="gramStart"/>
            <w:r w:rsidRPr="00412E8C">
              <w:rPr>
                <w:rFonts w:asciiTheme="majorHAnsi" w:eastAsia="Times New Roman" w:hAnsiTheme="majorHAnsi" w:cs="Arial"/>
                <w:color w:val="000000"/>
                <w:sz w:val="20"/>
                <w:szCs w:val="20"/>
              </w:rPr>
              <w:t>água</w:t>
            </w:r>
            <w:proofErr w:type="gramEnd"/>
            <w:r w:rsidRPr="00412E8C">
              <w:rPr>
                <w:rFonts w:asciiTheme="majorHAnsi" w:eastAsia="Times New Roman" w:hAnsiTheme="majorHAnsi" w:cs="Arial"/>
                <w:color w:val="000000"/>
                <w:sz w:val="20"/>
                <w:szCs w:val="20"/>
              </w:rPr>
              <w:t xml:space="preserve"> + esgoto</w:t>
            </w:r>
          </w:p>
        </w:tc>
        <w:tc>
          <w:tcPr>
            <w:tcW w:w="0" w:type="auto"/>
            <w:tcBorders>
              <w:top w:val="nil"/>
              <w:left w:val="nil"/>
              <w:bottom w:val="single" w:sz="4" w:space="0" w:color="auto"/>
              <w:right w:val="single" w:sz="4" w:space="0" w:color="auto"/>
            </w:tcBorders>
            <w:shd w:val="clear" w:color="auto" w:fill="auto"/>
            <w:noWrap/>
            <w:vAlign w:val="center"/>
            <w:hideMark/>
          </w:tcPr>
          <w:p w:rsidR="00C65A58" w:rsidRPr="00412E8C" w:rsidRDefault="00C65A58" w:rsidP="00C168CD">
            <w:pPr>
              <w:jc w:val="center"/>
              <w:rPr>
                <w:rFonts w:asciiTheme="majorHAnsi" w:eastAsia="Times New Roman" w:hAnsiTheme="majorHAnsi"/>
                <w:color w:val="000000"/>
                <w:sz w:val="20"/>
                <w:szCs w:val="20"/>
              </w:rPr>
            </w:pPr>
            <w:r w:rsidRPr="00412E8C">
              <w:rPr>
                <w:rFonts w:asciiTheme="majorHAnsi" w:eastAsia="Times New Roman" w:hAnsiTheme="majorHAnsi"/>
                <w:color w:val="000000"/>
                <w:sz w:val="20"/>
                <w:szCs w:val="20"/>
              </w:rPr>
              <w:t>R$206.207.665,00</w:t>
            </w:r>
          </w:p>
        </w:tc>
        <w:tc>
          <w:tcPr>
            <w:tcW w:w="0" w:type="auto"/>
            <w:tcBorders>
              <w:top w:val="nil"/>
              <w:left w:val="nil"/>
              <w:bottom w:val="single" w:sz="4" w:space="0" w:color="auto"/>
              <w:right w:val="single" w:sz="4" w:space="0" w:color="auto"/>
            </w:tcBorders>
            <w:shd w:val="clear" w:color="auto" w:fill="auto"/>
            <w:noWrap/>
            <w:vAlign w:val="center"/>
            <w:hideMark/>
          </w:tcPr>
          <w:p w:rsidR="00C65A58" w:rsidRPr="00412E8C" w:rsidRDefault="00C65A58" w:rsidP="00C168CD">
            <w:pPr>
              <w:jc w:val="center"/>
              <w:rPr>
                <w:rFonts w:asciiTheme="majorHAnsi" w:eastAsia="Times New Roman" w:hAnsiTheme="majorHAnsi"/>
                <w:color w:val="000000"/>
                <w:sz w:val="20"/>
                <w:szCs w:val="20"/>
              </w:rPr>
            </w:pPr>
            <w:r w:rsidRPr="00412E8C">
              <w:rPr>
                <w:rFonts w:asciiTheme="majorHAnsi" w:eastAsia="Times New Roman" w:hAnsiTheme="majorHAnsi"/>
                <w:color w:val="000000"/>
                <w:sz w:val="20"/>
                <w:szCs w:val="20"/>
              </w:rPr>
              <w:t>R$187.608.152,28</w:t>
            </w:r>
          </w:p>
        </w:tc>
        <w:tc>
          <w:tcPr>
            <w:tcW w:w="0" w:type="auto"/>
            <w:tcBorders>
              <w:top w:val="nil"/>
              <w:left w:val="nil"/>
              <w:bottom w:val="single" w:sz="4" w:space="0" w:color="auto"/>
              <w:right w:val="single" w:sz="4" w:space="0" w:color="auto"/>
            </w:tcBorders>
            <w:shd w:val="clear" w:color="auto" w:fill="auto"/>
            <w:noWrap/>
            <w:vAlign w:val="center"/>
            <w:hideMark/>
          </w:tcPr>
          <w:p w:rsidR="00C65A58" w:rsidRPr="00412E8C" w:rsidRDefault="00C65A58" w:rsidP="00C168CD">
            <w:pPr>
              <w:jc w:val="center"/>
              <w:rPr>
                <w:rFonts w:asciiTheme="majorHAnsi" w:eastAsia="Times New Roman" w:hAnsiTheme="majorHAnsi"/>
                <w:color w:val="000000"/>
                <w:sz w:val="20"/>
                <w:szCs w:val="20"/>
              </w:rPr>
            </w:pPr>
            <w:r w:rsidRPr="00412E8C">
              <w:rPr>
                <w:rFonts w:asciiTheme="majorHAnsi" w:eastAsia="Times New Roman" w:hAnsiTheme="majorHAnsi"/>
                <w:color w:val="000000"/>
                <w:sz w:val="20"/>
                <w:szCs w:val="20"/>
              </w:rPr>
              <w:t>R$18.599.512,72</w:t>
            </w:r>
          </w:p>
        </w:tc>
      </w:tr>
      <w:tr w:rsidR="00C65A58" w:rsidRPr="00412E8C" w:rsidTr="00C168CD">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65A58" w:rsidRPr="00412E8C" w:rsidRDefault="00C65A58" w:rsidP="00C168CD">
            <w:pPr>
              <w:jc w:val="center"/>
              <w:rPr>
                <w:rFonts w:asciiTheme="majorHAnsi" w:eastAsia="Times New Roman" w:hAnsiTheme="majorHAnsi" w:cs="Arial"/>
                <w:color w:val="000000"/>
                <w:sz w:val="20"/>
                <w:szCs w:val="20"/>
              </w:rPr>
            </w:pPr>
            <w:r w:rsidRPr="00412E8C">
              <w:rPr>
                <w:rFonts w:asciiTheme="majorHAnsi" w:eastAsia="Times New Roman" w:hAnsiTheme="majorHAnsi" w:cs="Arial"/>
                <w:color w:val="000000"/>
                <w:sz w:val="20"/>
                <w:szCs w:val="20"/>
              </w:rPr>
              <w:t>TOTAL</w:t>
            </w:r>
          </w:p>
        </w:tc>
        <w:tc>
          <w:tcPr>
            <w:tcW w:w="0" w:type="auto"/>
            <w:tcBorders>
              <w:top w:val="nil"/>
              <w:left w:val="nil"/>
              <w:bottom w:val="single" w:sz="4" w:space="0" w:color="auto"/>
              <w:right w:val="single" w:sz="4" w:space="0" w:color="auto"/>
            </w:tcBorders>
            <w:shd w:val="clear" w:color="auto" w:fill="auto"/>
            <w:noWrap/>
            <w:vAlign w:val="center"/>
            <w:hideMark/>
          </w:tcPr>
          <w:p w:rsidR="00C65A58" w:rsidRPr="00412E8C" w:rsidRDefault="00C65A58" w:rsidP="00C168CD">
            <w:pPr>
              <w:jc w:val="center"/>
              <w:rPr>
                <w:rFonts w:asciiTheme="majorHAnsi" w:eastAsia="Times New Roman" w:hAnsiTheme="majorHAnsi"/>
                <w:color w:val="000000"/>
                <w:sz w:val="20"/>
                <w:szCs w:val="20"/>
              </w:rPr>
            </w:pPr>
            <w:r w:rsidRPr="00412E8C">
              <w:rPr>
                <w:rFonts w:asciiTheme="majorHAnsi" w:eastAsia="Times New Roman" w:hAnsiTheme="majorHAnsi"/>
                <w:color w:val="000000"/>
                <w:sz w:val="20"/>
                <w:szCs w:val="20"/>
              </w:rPr>
              <w:t>R$744.386.097,00</w:t>
            </w:r>
          </w:p>
        </w:tc>
        <w:tc>
          <w:tcPr>
            <w:tcW w:w="0" w:type="auto"/>
            <w:tcBorders>
              <w:top w:val="nil"/>
              <w:left w:val="nil"/>
              <w:bottom w:val="single" w:sz="4" w:space="0" w:color="auto"/>
              <w:right w:val="single" w:sz="4" w:space="0" w:color="auto"/>
            </w:tcBorders>
            <w:shd w:val="clear" w:color="auto" w:fill="auto"/>
            <w:noWrap/>
            <w:vAlign w:val="center"/>
            <w:hideMark/>
          </w:tcPr>
          <w:p w:rsidR="00C65A58" w:rsidRPr="00412E8C" w:rsidRDefault="00C65A58" w:rsidP="00C168CD">
            <w:pPr>
              <w:jc w:val="center"/>
              <w:rPr>
                <w:rFonts w:asciiTheme="majorHAnsi" w:eastAsia="Times New Roman" w:hAnsiTheme="majorHAnsi"/>
                <w:color w:val="000000"/>
                <w:sz w:val="20"/>
                <w:szCs w:val="20"/>
              </w:rPr>
            </w:pPr>
            <w:r w:rsidRPr="00412E8C">
              <w:rPr>
                <w:rFonts w:asciiTheme="majorHAnsi" w:eastAsia="Times New Roman" w:hAnsiTheme="majorHAnsi"/>
                <w:color w:val="000000"/>
                <w:sz w:val="20"/>
                <w:szCs w:val="20"/>
              </w:rPr>
              <w:t>R$740.500.622,13</w:t>
            </w:r>
          </w:p>
        </w:tc>
        <w:tc>
          <w:tcPr>
            <w:tcW w:w="0" w:type="auto"/>
            <w:tcBorders>
              <w:top w:val="nil"/>
              <w:left w:val="nil"/>
              <w:bottom w:val="single" w:sz="4" w:space="0" w:color="auto"/>
              <w:right w:val="single" w:sz="4" w:space="0" w:color="auto"/>
            </w:tcBorders>
            <w:shd w:val="clear" w:color="auto" w:fill="auto"/>
            <w:noWrap/>
            <w:vAlign w:val="center"/>
            <w:hideMark/>
          </w:tcPr>
          <w:p w:rsidR="00C65A58" w:rsidRPr="00412E8C" w:rsidRDefault="00C65A58" w:rsidP="00C168CD">
            <w:pPr>
              <w:jc w:val="center"/>
              <w:rPr>
                <w:rFonts w:asciiTheme="majorHAnsi" w:eastAsia="Times New Roman" w:hAnsiTheme="majorHAnsi"/>
                <w:color w:val="000000"/>
                <w:sz w:val="20"/>
                <w:szCs w:val="20"/>
              </w:rPr>
            </w:pPr>
            <w:r w:rsidRPr="00412E8C">
              <w:rPr>
                <w:rFonts w:asciiTheme="majorHAnsi" w:eastAsia="Times New Roman" w:hAnsiTheme="majorHAnsi"/>
                <w:color w:val="000000"/>
                <w:sz w:val="20"/>
                <w:szCs w:val="20"/>
              </w:rPr>
              <w:t>R$3.885.474,87</w:t>
            </w:r>
          </w:p>
        </w:tc>
      </w:tr>
    </w:tbl>
    <w:p w:rsidR="00C65A58" w:rsidRDefault="00C606B4" w:rsidP="00C65A58">
      <w:pPr>
        <w:spacing w:line="360" w:lineRule="auto"/>
        <w:jc w:val="both"/>
      </w:pPr>
      <w:r>
        <w:t>Fonte: Quadro 20 da NT4</w:t>
      </w:r>
    </w:p>
    <w:p w:rsidR="0073075E" w:rsidRDefault="0073075E" w:rsidP="003B5F38">
      <w:pPr>
        <w:spacing w:line="360" w:lineRule="auto"/>
        <w:jc w:val="both"/>
      </w:pPr>
    </w:p>
    <w:p w:rsidR="00E74CC3" w:rsidRDefault="00E74CC3" w:rsidP="003B5F38">
      <w:pPr>
        <w:spacing w:line="360" w:lineRule="auto"/>
        <w:jc w:val="both"/>
      </w:pPr>
      <w:r>
        <w:lastRenderedPageBreak/>
        <w:t>Não obstante tenhamos identificado valores de CAPEX abaixo do apurado pelo ET04, optamos por manter os números propostos pelo e</w:t>
      </w:r>
      <w:r w:rsidR="005C4CC3">
        <w:t>studo técnico da concessionária. D</w:t>
      </w:r>
      <w:r>
        <w:t>ada a pequena discrepância</w:t>
      </w:r>
      <w:r w:rsidR="007D40F7">
        <w:t xml:space="preserve"> (em termos relativos)</w:t>
      </w:r>
      <w:r w:rsidR="005C4CC3">
        <w:t xml:space="preserve">, assim como a importância da realização dos investimentos para a universalização dos serviços de abastecimento de água e de esgotamento sanitário no Tocantins, </w:t>
      </w:r>
      <w:r w:rsidR="00302DB5">
        <w:t xml:space="preserve">considerando as importantes externalidades econômicas, sociais e ambientais que potencialmente derivam da realização desses investimentos, </w:t>
      </w:r>
      <w:r w:rsidR="005C4CC3">
        <w:t>optou-se por validar os valores propostos no Estudo Técnico apresentado pel</w:t>
      </w:r>
      <w:r w:rsidR="0016321E">
        <w:t>a</w:t>
      </w:r>
      <w:r w:rsidR="005C4CC3">
        <w:t xml:space="preserve"> </w:t>
      </w:r>
      <w:proofErr w:type="spellStart"/>
      <w:r w:rsidR="0016321E">
        <w:t>Foz|Saneatins</w:t>
      </w:r>
      <w:proofErr w:type="spellEnd"/>
      <w:r w:rsidR="005C4CC3">
        <w:t>.</w:t>
      </w:r>
      <w:r w:rsidR="002B1810">
        <w:t xml:space="preserve"> É importante ressaltar que este programa de investimentos, voltado para a universalização dos serviços de água e esgoto no Estado, apresenta elevadas externalidades positivas para os usuários e para a população em geral e, assim, deve ser considerado em posição central entre os objetivos regulatórios aqui considerados. </w:t>
      </w:r>
    </w:p>
    <w:p w:rsidR="00D66087" w:rsidRPr="00287C71" w:rsidRDefault="00D66087" w:rsidP="00D66087">
      <w:pPr>
        <w:spacing w:line="360" w:lineRule="auto"/>
        <w:jc w:val="both"/>
        <w:rPr>
          <w:rFonts w:cs="Arial"/>
        </w:rPr>
      </w:pPr>
      <w:r w:rsidRPr="00287C71">
        <w:rPr>
          <w:rFonts w:cs="Arial"/>
        </w:rPr>
        <w:t xml:space="preserve">Ocorre que, após verificarmos todos os contratos de concessão firmados, foram observadas algumas particularidades nos municípios de Colinas do Tocantins, </w:t>
      </w:r>
      <w:proofErr w:type="spellStart"/>
      <w:r w:rsidRPr="00287C71">
        <w:rPr>
          <w:rFonts w:cs="Arial"/>
        </w:rPr>
        <w:t>Guaraí</w:t>
      </w:r>
      <w:proofErr w:type="spellEnd"/>
      <w:r w:rsidRPr="00287C71">
        <w:rPr>
          <w:rFonts w:cs="Arial"/>
        </w:rPr>
        <w:t xml:space="preserve">, </w:t>
      </w:r>
      <w:proofErr w:type="spellStart"/>
      <w:r w:rsidRPr="00287C71">
        <w:rPr>
          <w:rFonts w:cs="Arial"/>
        </w:rPr>
        <w:t>Paranã</w:t>
      </w:r>
      <w:proofErr w:type="spellEnd"/>
      <w:r w:rsidRPr="00287C71">
        <w:rPr>
          <w:rFonts w:cs="Arial"/>
        </w:rPr>
        <w:t xml:space="preserve"> e Peixe.</w:t>
      </w:r>
    </w:p>
    <w:p w:rsidR="00D66087" w:rsidRDefault="00D66087" w:rsidP="00D66087">
      <w:pPr>
        <w:tabs>
          <w:tab w:val="left" w:pos="3544"/>
        </w:tabs>
        <w:spacing w:line="360" w:lineRule="auto"/>
        <w:rPr>
          <w:rFonts w:cs="Arial"/>
        </w:rPr>
      </w:pPr>
      <w:r w:rsidRPr="00287C71">
        <w:rPr>
          <w:rFonts w:cs="Arial"/>
        </w:rPr>
        <w:t xml:space="preserve">No caso do Município de Colinas do Tocantins, o contrato de concessão </w:t>
      </w:r>
      <w:r>
        <w:rPr>
          <w:rFonts w:cs="Arial"/>
        </w:rPr>
        <w:t xml:space="preserve">apresenta </w:t>
      </w:r>
      <w:r w:rsidRPr="00287C71">
        <w:rPr>
          <w:rFonts w:cs="Arial"/>
        </w:rPr>
        <w:t>a seguinte</w:t>
      </w:r>
      <w:r>
        <w:rPr>
          <w:rFonts w:cs="Arial"/>
        </w:rPr>
        <w:t xml:space="preserve"> </w:t>
      </w:r>
      <w:r w:rsidRPr="00287C71">
        <w:rPr>
          <w:rFonts w:cs="Arial"/>
        </w:rPr>
        <w:t>redação:</w:t>
      </w:r>
    </w:p>
    <w:p w:rsidR="00D66087" w:rsidRDefault="00D66087" w:rsidP="00D66087">
      <w:pPr>
        <w:tabs>
          <w:tab w:val="left" w:pos="3544"/>
        </w:tabs>
        <w:spacing w:line="360" w:lineRule="auto"/>
        <w:ind w:left="2124"/>
        <w:rPr>
          <w:rFonts w:ascii="Arial" w:hAnsi="Arial" w:cs="Arial"/>
          <w:sz w:val="24"/>
          <w:szCs w:val="24"/>
        </w:rPr>
      </w:pPr>
      <w:r>
        <w:rPr>
          <w:rFonts w:cs="Arial"/>
        </w:rPr>
        <w:t xml:space="preserve">5.2.3 – As despesas de investimentos deverão ser plenamente amortizadas no decorrer do prazo da concessão e, enquanto não amortizadas, farão jus a remuneração da TJLP mais 6% ao ano, ou à taxa contratada no caso de financiamento específico, obedecida a temporalidade do atendimento de tabela conforme o anexo I. </w:t>
      </w:r>
    </w:p>
    <w:p w:rsidR="00D66087" w:rsidRDefault="00D66087" w:rsidP="00D66087">
      <w:pPr>
        <w:tabs>
          <w:tab w:val="left" w:pos="3544"/>
        </w:tabs>
        <w:jc w:val="both"/>
        <w:rPr>
          <w:rFonts w:cs="Arial"/>
        </w:rPr>
      </w:pPr>
      <w:r>
        <w:rPr>
          <w:rFonts w:cs="Arial"/>
        </w:rPr>
        <w:t xml:space="preserve">Para o Município de Peixe, o </w:t>
      </w:r>
      <w:r w:rsidRPr="00287C71">
        <w:rPr>
          <w:rFonts w:cs="Arial"/>
        </w:rPr>
        <w:t xml:space="preserve">contrato de concessão </w:t>
      </w:r>
      <w:r>
        <w:rPr>
          <w:rFonts w:cs="Arial"/>
        </w:rPr>
        <w:t>se mostra</w:t>
      </w:r>
      <w:r w:rsidRPr="00287C71">
        <w:rPr>
          <w:rFonts w:cs="Arial"/>
        </w:rPr>
        <w:t xml:space="preserve"> da seguinte forma:</w:t>
      </w:r>
    </w:p>
    <w:p w:rsidR="00D66087" w:rsidRDefault="00D66087" w:rsidP="00D66087">
      <w:pPr>
        <w:tabs>
          <w:tab w:val="left" w:pos="3544"/>
        </w:tabs>
        <w:spacing w:line="360" w:lineRule="auto"/>
        <w:ind w:left="2124"/>
        <w:rPr>
          <w:rFonts w:ascii="Arial" w:hAnsi="Arial" w:cs="Arial"/>
          <w:sz w:val="24"/>
          <w:szCs w:val="24"/>
        </w:rPr>
      </w:pPr>
      <w:r>
        <w:rPr>
          <w:rFonts w:cs="Arial"/>
        </w:rPr>
        <w:t xml:space="preserve">5.2.3 – As despesas de investimentos deverão ser plenamente amortizadas no decorrer do prazo da concessão e, enquanto não amortizadas, farão jus a remuneração da TJLP, ou à taxa contratada no caso de financiamento específico. </w:t>
      </w:r>
    </w:p>
    <w:p w:rsidR="00D66087" w:rsidRDefault="00D66087" w:rsidP="00D66087">
      <w:pPr>
        <w:tabs>
          <w:tab w:val="left" w:pos="3544"/>
        </w:tabs>
        <w:spacing w:line="360" w:lineRule="auto"/>
        <w:jc w:val="both"/>
        <w:rPr>
          <w:rFonts w:cs="Arial"/>
        </w:rPr>
      </w:pPr>
      <w:r w:rsidRPr="00287C71">
        <w:rPr>
          <w:rFonts w:cs="Arial"/>
        </w:rPr>
        <w:t xml:space="preserve">Já </w:t>
      </w:r>
      <w:r>
        <w:rPr>
          <w:rFonts w:cs="Arial"/>
        </w:rPr>
        <w:t xml:space="preserve">o </w:t>
      </w:r>
      <w:r w:rsidRPr="00287C71">
        <w:rPr>
          <w:rFonts w:cs="Arial"/>
        </w:rPr>
        <w:t xml:space="preserve">Município de </w:t>
      </w:r>
      <w:proofErr w:type="spellStart"/>
      <w:r w:rsidRPr="00287C71">
        <w:rPr>
          <w:rFonts w:cs="Arial"/>
        </w:rPr>
        <w:t>Paranã</w:t>
      </w:r>
      <w:proofErr w:type="spellEnd"/>
      <w:r w:rsidRPr="00287C71">
        <w:rPr>
          <w:rFonts w:cs="Arial"/>
        </w:rPr>
        <w:t xml:space="preserve"> dispõe em seu contrato de concessão</w:t>
      </w:r>
      <w:r>
        <w:rPr>
          <w:rFonts w:cs="Arial"/>
        </w:rPr>
        <w:t xml:space="preserve"> conforme abaixo. Para este município, não haverá remuneração, tendo em vista que a remuneração do concessionário virá na forma de prorrogação automática do contrato.</w:t>
      </w:r>
    </w:p>
    <w:p w:rsidR="00D66087" w:rsidRDefault="00D66087" w:rsidP="00D66087">
      <w:pPr>
        <w:tabs>
          <w:tab w:val="left" w:pos="3544"/>
        </w:tabs>
        <w:spacing w:line="360" w:lineRule="auto"/>
        <w:ind w:left="2124"/>
        <w:rPr>
          <w:rFonts w:cs="Arial"/>
        </w:rPr>
      </w:pPr>
      <w:r>
        <w:rPr>
          <w:rFonts w:cs="Arial"/>
        </w:rPr>
        <w:lastRenderedPageBreak/>
        <w:t xml:space="preserve">5.2.3 – As despesas de investimentos deverão ser plenamente amortizadas no decorrer do prazo da concessão e, enquanto não amortizadas, </w:t>
      </w:r>
      <w:proofErr w:type="gramStart"/>
      <w:r>
        <w:rPr>
          <w:rFonts w:cs="Arial"/>
        </w:rPr>
        <w:t>sujeita-se</w:t>
      </w:r>
      <w:proofErr w:type="gramEnd"/>
      <w:r>
        <w:rPr>
          <w:rFonts w:cs="Arial"/>
        </w:rPr>
        <w:t xml:space="preserve"> o Município ao disposto no item 1.3 da cláusula primeira deste Contrato. </w:t>
      </w:r>
    </w:p>
    <w:p w:rsidR="00D66087" w:rsidRDefault="00D66087" w:rsidP="00D66087">
      <w:pPr>
        <w:tabs>
          <w:tab w:val="left" w:pos="3544"/>
        </w:tabs>
        <w:spacing w:line="360" w:lineRule="auto"/>
        <w:ind w:left="2124"/>
        <w:rPr>
          <w:rFonts w:cs="Arial"/>
        </w:rPr>
      </w:pPr>
      <w:r>
        <w:rPr>
          <w:rFonts w:cs="Arial"/>
        </w:rPr>
        <w:t>1.3 – Na eventualidade de haver investimentos reconhecidos não amortizados no fim do prazo deste contrato, o mesmo será automaticamente prorrogado pelo prazo necessário para a plena amortização dos investimentos ou indenizado no ato.</w:t>
      </w:r>
    </w:p>
    <w:p w:rsidR="00D66087" w:rsidRDefault="00D66087" w:rsidP="00D66087">
      <w:pPr>
        <w:tabs>
          <w:tab w:val="left" w:pos="3544"/>
        </w:tabs>
        <w:spacing w:line="360" w:lineRule="auto"/>
        <w:jc w:val="both"/>
      </w:pPr>
      <w:r w:rsidRPr="00287C71">
        <w:rPr>
          <w:rFonts w:cs="Arial"/>
        </w:rPr>
        <w:t xml:space="preserve">O Município de </w:t>
      </w:r>
      <w:proofErr w:type="spellStart"/>
      <w:r w:rsidRPr="00287C71">
        <w:rPr>
          <w:rFonts w:cs="Arial"/>
        </w:rPr>
        <w:t>Guaraí</w:t>
      </w:r>
      <w:proofErr w:type="spellEnd"/>
      <w:r w:rsidRPr="00287C71">
        <w:rPr>
          <w:rFonts w:cs="Arial"/>
        </w:rPr>
        <w:t xml:space="preserve"> não apresenta em seu contrato de concessão </w:t>
      </w:r>
      <w:r>
        <w:rPr>
          <w:rFonts w:cs="Arial"/>
        </w:rPr>
        <w:t xml:space="preserve">todas </w:t>
      </w:r>
      <w:r w:rsidRPr="00287C71">
        <w:rPr>
          <w:rFonts w:cs="Arial"/>
        </w:rPr>
        <w:t>as cláusulas abalizadas no estudo apresentado</w:t>
      </w:r>
      <w:r>
        <w:rPr>
          <w:rFonts w:cs="Arial"/>
        </w:rPr>
        <w:t xml:space="preserve">, trazendo no corpo do seu contrato apenas a cláusula referente ao </w:t>
      </w:r>
      <w:r w:rsidRPr="00771F73">
        <w:rPr>
          <w:rFonts w:cs="Arial"/>
          <w:b/>
          <w:i/>
        </w:rPr>
        <w:t xml:space="preserve">item </w:t>
      </w:r>
      <w:r w:rsidRPr="00771F73">
        <w:rPr>
          <w:b/>
          <w:i/>
          <w:iCs/>
        </w:rPr>
        <w:t>4.5</w:t>
      </w:r>
      <w:r w:rsidRPr="00623BF8">
        <w:rPr>
          <w:i/>
          <w:iCs/>
        </w:rPr>
        <w:t xml:space="preserve">. </w:t>
      </w:r>
      <w:r>
        <w:rPr>
          <w:rFonts w:cs="Arial"/>
        </w:rPr>
        <w:t xml:space="preserve"> O</w:t>
      </w:r>
      <w:r w:rsidRPr="00623BF8">
        <w:rPr>
          <w:i/>
          <w:iCs/>
        </w:rPr>
        <w:t xml:space="preserve"> equilíbrio econômico e financeiro do contrato com a </w:t>
      </w:r>
      <w:proofErr w:type="spellStart"/>
      <w:r w:rsidRPr="00623BF8">
        <w:rPr>
          <w:i/>
          <w:iCs/>
        </w:rPr>
        <w:t>Saneatins</w:t>
      </w:r>
      <w:proofErr w:type="spellEnd"/>
      <w:r w:rsidRPr="00623BF8">
        <w:rPr>
          <w:i/>
          <w:iCs/>
        </w:rPr>
        <w:t>, decorrente desta outorga, será avaliado com base nas despesas de exploração e de investimentos nos sistemas de água e esgoto deste Município, em relação às tarifas praticadas, conforme metodologia a ser definida pelo Conselho Es</w:t>
      </w:r>
      <w:r>
        <w:rPr>
          <w:i/>
          <w:iCs/>
        </w:rPr>
        <w:t xml:space="preserve">tadual de Regulação e Controle. </w:t>
      </w:r>
      <w:r w:rsidRPr="00020E16">
        <w:rPr>
          <w:iCs/>
        </w:rPr>
        <w:t>Neste caso</w:t>
      </w:r>
      <w:r>
        <w:rPr>
          <w:iCs/>
        </w:rPr>
        <w:t xml:space="preserve"> de </w:t>
      </w:r>
      <w:proofErr w:type="spellStart"/>
      <w:r>
        <w:rPr>
          <w:iCs/>
        </w:rPr>
        <w:t>Guaraí</w:t>
      </w:r>
      <w:proofErr w:type="spellEnd"/>
      <w:r>
        <w:rPr>
          <w:iCs/>
        </w:rPr>
        <w:t xml:space="preserve">, tendo em vista o disposto em contrato, é possível utilizar </w:t>
      </w:r>
      <w:r>
        <w:t>a mesma metodologia e parâmetros já definidos para os demais contratos.</w:t>
      </w:r>
    </w:p>
    <w:p w:rsidR="00D66087" w:rsidRDefault="00D66087" w:rsidP="00D66087">
      <w:pPr>
        <w:tabs>
          <w:tab w:val="left" w:pos="3544"/>
        </w:tabs>
        <w:spacing w:line="360" w:lineRule="auto"/>
        <w:jc w:val="both"/>
        <w:rPr>
          <w:rFonts w:cs="Arial"/>
        </w:rPr>
      </w:pPr>
      <w:r>
        <w:rPr>
          <w:rFonts w:cs="Arial"/>
        </w:rPr>
        <w:t xml:space="preserve">Para os municípios que apresentam parâmetros contratuais diferentes, o método utilizado para a realização do ajuste no conjunto correspondeu à aplicação, no conjunto dos municípios, de um ponderador que reflete o peso dos três que apresentam parâmetros diferentes. O ponderador foi construído a partir da proporção de cada município no número de ligações referente ao </w:t>
      </w:r>
      <w:proofErr w:type="gramStart"/>
      <w:r>
        <w:rPr>
          <w:rFonts w:cs="Arial"/>
        </w:rPr>
        <w:t>ano de 2012 reportada no SNIS</w:t>
      </w:r>
      <w:proofErr w:type="gramEnd"/>
      <w:r>
        <w:rPr>
          <w:rFonts w:cs="Arial"/>
        </w:rPr>
        <w:t>. A tabela a seguir apresenta esses casos e seus respectivos ponderadores.</w:t>
      </w:r>
    </w:p>
    <w:tbl>
      <w:tblPr>
        <w:tblStyle w:val="GridTable1LightAccent1"/>
        <w:tblW w:w="0" w:type="auto"/>
        <w:tblLook w:val="04A0"/>
      </w:tblPr>
      <w:tblGrid>
        <w:gridCol w:w="3539"/>
        <w:gridCol w:w="2447"/>
        <w:gridCol w:w="2508"/>
      </w:tblGrid>
      <w:tr w:rsidR="00D66087" w:rsidTr="00782F3B">
        <w:trPr>
          <w:cnfStyle w:val="100000000000"/>
        </w:trPr>
        <w:tc>
          <w:tcPr>
            <w:cnfStyle w:val="001000000000"/>
            <w:tcW w:w="3539" w:type="dxa"/>
          </w:tcPr>
          <w:p w:rsidR="00D66087" w:rsidRDefault="00D66087" w:rsidP="00782F3B">
            <w:pPr>
              <w:tabs>
                <w:tab w:val="left" w:pos="3544"/>
              </w:tabs>
              <w:spacing w:line="360" w:lineRule="auto"/>
              <w:jc w:val="both"/>
              <w:rPr>
                <w:rFonts w:cs="Arial"/>
              </w:rPr>
            </w:pPr>
            <w:r>
              <w:rPr>
                <w:rFonts w:cs="Arial"/>
              </w:rPr>
              <w:t>Municípios</w:t>
            </w:r>
          </w:p>
        </w:tc>
        <w:tc>
          <w:tcPr>
            <w:tcW w:w="2447" w:type="dxa"/>
          </w:tcPr>
          <w:p w:rsidR="00D66087" w:rsidRDefault="00D66087" w:rsidP="00782F3B">
            <w:pPr>
              <w:tabs>
                <w:tab w:val="left" w:pos="3544"/>
              </w:tabs>
              <w:spacing w:line="360" w:lineRule="auto"/>
              <w:jc w:val="center"/>
              <w:cnfStyle w:val="100000000000"/>
              <w:rPr>
                <w:rFonts w:cs="Arial"/>
              </w:rPr>
            </w:pPr>
            <w:r>
              <w:rPr>
                <w:rFonts w:cs="Arial"/>
              </w:rPr>
              <w:t>Remuneração</w:t>
            </w:r>
          </w:p>
        </w:tc>
        <w:tc>
          <w:tcPr>
            <w:tcW w:w="2508" w:type="dxa"/>
          </w:tcPr>
          <w:p w:rsidR="00D66087" w:rsidRDefault="00D66087" w:rsidP="00782F3B">
            <w:pPr>
              <w:tabs>
                <w:tab w:val="left" w:pos="3544"/>
              </w:tabs>
              <w:spacing w:line="360" w:lineRule="auto"/>
              <w:jc w:val="center"/>
              <w:cnfStyle w:val="100000000000"/>
              <w:rPr>
                <w:rFonts w:cs="Arial"/>
              </w:rPr>
            </w:pPr>
            <w:r>
              <w:rPr>
                <w:rFonts w:cs="Arial"/>
              </w:rPr>
              <w:t>Peso no conjunto</w:t>
            </w:r>
          </w:p>
        </w:tc>
      </w:tr>
      <w:tr w:rsidR="00D66087" w:rsidTr="00782F3B">
        <w:tc>
          <w:tcPr>
            <w:cnfStyle w:val="001000000000"/>
            <w:tcW w:w="3539" w:type="dxa"/>
          </w:tcPr>
          <w:p w:rsidR="00D66087" w:rsidRDefault="00D66087" w:rsidP="00782F3B">
            <w:pPr>
              <w:tabs>
                <w:tab w:val="left" w:pos="3544"/>
              </w:tabs>
              <w:spacing w:line="360" w:lineRule="auto"/>
              <w:jc w:val="both"/>
              <w:rPr>
                <w:rFonts w:cs="Arial"/>
              </w:rPr>
            </w:pPr>
            <w:r>
              <w:rPr>
                <w:rFonts w:cs="Arial"/>
              </w:rPr>
              <w:t>Colinas do Tocantins</w:t>
            </w:r>
          </w:p>
        </w:tc>
        <w:tc>
          <w:tcPr>
            <w:tcW w:w="2447" w:type="dxa"/>
          </w:tcPr>
          <w:p w:rsidR="00D66087" w:rsidRDefault="00D66087" w:rsidP="00782F3B">
            <w:pPr>
              <w:tabs>
                <w:tab w:val="left" w:pos="3544"/>
              </w:tabs>
              <w:spacing w:line="360" w:lineRule="auto"/>
              <w:jc w:val="center"/>
              <w:cnfStyle w:val="000000000000"/>
              <w:rPr>
                <w:rFonts w:cs="Arial"/>
              </w:rPr>
            </w:pPr>
            <w:r>
              <w:rPr>
                <w:rFonts w:cs="Arial"/>
              </w:rPr>
              <w:t>TJLP + 6%</w:t>
            </w:r>
          </w:p>
        </w:tc>
        <w:tc>
          <w:tcPr>
            <w:tcW w:w="2508" w:type="dxa"/>
          </w:tcPr>
          <w:p w:rsidR="00D66087" w:rsidRDefault="00D66087" w:rsidP="00782F3B">
            <w:pPr>
              <w:tabs>
                <w:tab w:val="left" w:pos="3544"/>
              </w:tabs>
              <w:spacing w:line="360" w:lineRule="auto"/>
              <w:jc w:val="center"/>
              <w:cnfStyle w:val="000000000000"/>
              <w:rPr>
                <w:rFonts w:cs="Arial"/>
              </w:rPr>
            </w:pPr>
            <w:r>
              <w:rPr>
                <w:rFonts w:cs="Arial"/>
              </w:rPr>
              <w:t>3,40%</w:t>
            </w:r>
          </w:p>
        </w:tc>
      </w:tr>
      <w:tr w:rsidR="00D66087" w:rsidTr="00782F3B">
        <w:tc>
          <w:tcPr>
            <w:cnfStyle w:val="001000000000"/>
            <w:tcW w:w="3539" w:type="dxa"/>
          </w:tcPr>
          <w:p w:rsidR="00D66087" w:rsidRDefault="00D66087" w:rsidP="00782F3B">
            <w:pPr>
              <w:tabs>
                <w:tab w:val="left" w:pos="3544"/>
              </w:tabs>
              <w:spacing w:line="360" w:lineRule="auto"/>
              <w:jc w:val="both"/>
              <w:rPr>
                <w:rFonts w:cs="Arial"/>
              </w:rPr>
            </w:pPr>
            <w:r>
              <w:rPr>
                <w:rFonts w:cs="Arial"/>
              </w:rPr>
              <w:t>Peixe</w:t>
            </w:r>
          </w:p>
        </w:tc>
        <w:tc>
          <w:tcPr>
            <w:tcW w:w="2447" w:type="dxa"/>
          </w:tcPr>
          <w:p w:rsidR="00D66087" w:rsidRDefault="00D66087" w:rsidP="00782F3B">
            <w:pPr>
              <w:tabs>
                <w:tab w:val="left" w:pos="3544"/>
              </w:tabs>
              <w:spacing w:line="360" w:lineRule="auto"/>
              <w:jc w:val="center"/>
              <w:cnfStyle w:val="000000000000"/>
              <w:rPr>
                <w:rFonts w:cs="Arial"/>
              </w:rPr>
            </w:pPr>
            <w:r>
              <w:rPr>
                <w:rFonts w:cs="Arial"/>
              </w:rPr>
              <w:t>TJLP</w:t>
            </w:r>
          </w:p>
        </w:tc>
        <w:tc>
          <w:tcPr>
            <w:tcW w:w="2508" w:type="dxa"/>
          </w:tcPr>
          <w:p w:rsidR="00D66087" w:rsidRDefault="00D66087" w:rsidP="00782F3B">
            <w:pPr>
              <w:tabs>
                <w:tab w:val="left" w:pos="3544"/>
              </w:tabs>
              <w:spacing w:line="360" w:lineRule="auto"/>
              <w:jc w:val="center"/>
              <w:cnfStyle w:val="000000000000"/>
              <w:rPr>
                <w:rFonts w:cs="Arial"/>
              </w:rPr>
            </w:pPr>
            <w:r>
              <w:rPr>
                <w:rFonts w:cs="Arial"/>
              </w:rPr>
              <w:t>0,77%</w:t>
            </w:r>
          </w:p>
        </w:tc>
      </w:tr>
      <w:tr w:rsidR="00D66087" w:rsidTr="00782F3B">
        <w:tc>
          <w:tcPr>
            <w:cnfStyle w:val="001000000000"/>
            <w:tcW w:w="3539" w:type="dxa"/>
          </w:tcPr>
          <w:p w:rsidR="00D66087" w:rsidRDefault="00D66087" w:rsidP="00782F3B">
            <w:pPr>
              <w:tabs>
                <w:tab w:val="left" w:pos="3544"/>
              </w:tabs>
              <w:spacing w:line="360" w:lineRule="auto"/>
              <w:jc w:val="both"/>
              <w:rPr>
                <w:rFonts w:cs="Arial"/>
              </w:rPr>
            </w:pPr>
            <w:proofErr w:type="spellStart"/>
            <w:r>
              <w:rPr>
                <w:rFonts w:cs="Arial"/>
              </w:rPr>
              <w:t>Paranã</w:t>
            </w:r>
            <w:proofErr w:type="spellEnd"/>
          </w:p>
        </w:tc>
        <w:tc>
          <w:tcPr>
            <w:tcW w:w="2447" w:type="dxa"/>
          </w:tcPr>
          <w:p w:rsidR="00D66087" w:rsidRDefault="00D66087" w:rsidP="00782F3B">
            <w:pPr>
              <w:tabs>
                <w:tab w:val="left" w:pos="3544"/>
              </w:tabs>
              <w:spacing w:line="360" w:lineRule="auto"/>
              <w:jc w:val="center"/>
              <w:cnfStyle w:val="000000000000"/>
              <w:rPr>
                <w:rFonts w:cs="Arial"/>
              </w:rPr>
            </w:pPr>
            <w:r>
              <w:rPr>
                <w:rFonts w:cs="Arial"/>
              </w:rPr>
              <w:t>Não há</w:t>
            </w:r>
          </w:p>
        </w:tc>
        <w:tc>
          <w:tcPr>
            <w:tcW w:w="2508" w:type="dxa"/>
          </w:tcPr>
          <w:p w:rsidR="00D66087" w:rsidRDefault="00D66087" w:rsidP="00782F3B">
            <w:pPr>
              <w:tabs>
                <w:tab w:val="left" w:pos="3544"/>
              </w:tabs>
              <w:spacing w:line="360" w:lineRule="auto"/>
              <w:jc w:val="center"/>
              <w:cnfStyle w:val="000000000000"/>
              <w:rPr>
                <w:rFonts w:cs="Arial"/>
              </w:rPr>
            </w:pPr>
            <w:r>
              <w:rPr>
                <w:rFonts w:cs="Arial"/>
              </w:rPr>
              <w:t>0,61%</w:t>
            </w:r>
          </w:p>
        </w:tc>
      </w:tr>
      <w:tr w:rsidR="00D66087" w:rsidTr="00782F3B">
        <w:tc>
          <w:tcPr>
            <w:cnfStyle w:val="001000000000"/>
            <w:tcW w:w="3539" w:type="dxa"/>
          </w:tcPr>
          <w:p w:rsidR="00D66087" w:rsidRDefault="00D66087" w:rsidP="00782F3B">
            <w:pPr>
              <w:tabs>
                <w:tab w:val="left" w:pos="3544"/>
              </w:tabs>
              <w:spacing w:line="360" w:lineRule="auto"/>
              <w:jc w:val="both"/>
              <w:rPr>
                <w:rFonts w:cs="Arial"/>
              </w:rPr>
            </w:pPr>
            <w:r>
              <w:rPr>
                <w:rFonts w:cs="Arial"/>
              </w:rPr>
              <w:t xml:space="preserve">Demais municípios (inclui </w:t>
            </w:r>
            <w:proofErr w:type="spellStart"/>
            <w:r>
              <w:rPr>
                <w:rFonts w:cs="Arial"/>
              </w:rPr>
              <w:t>Guaraí</w:t>
            </w:r>
            <w:proofErr w:type="spellEnd"/>
            <w:r>
              <w:rPr>
                <w:rFonts w:cs="Arial"/>
              </w:rPr>
              <w:t>)</w:t>
            </w:r>
          </w:p>
        </w:tc>
        <w:tc>
          <w:tcPr>
            <w:tcW w:w="2447" w:type="dxa"/>
          </w:tcPr>
          <w:p w:rsidR="00D66087" w:rsidRDefault="00D66087" w:rsidP="00782F3B">
            <w:pPr>
              <w:tabs>
                <w:tab w:val="left" w:pos="3544"/>
              </w:tabs>
              <w:spacing w:line="360" w:lineRule="auto"/>
              <w:jc w:val="center"/>
              <w:cnfStyle w:val="000000000000"/>
              <w:rPr>
                <w:rFonts w:cs="Arial"/>
              </w:rPr>
            </w:pPr>
            <w:r>
              <w:rPr>
                <w:rFonts w:cs="Arial"/>
              </w:rPr>
              <w:t>TJLP + 12%</w:t>
            </w:r>
          </w:p>
        </w:tc>
        <w:tc>
          <w:tcPr>
            <w:tcW w:w="2508" w:type="dxa"/>
          </w:tcPr>
          <w:p w:rsidR="00D66087" w:rsidRDefault="00D66087" w:rsidP="00782F3B">
            <w:pPr>
              <w:tabs>
                <w:tab w:val="left" w:pos="3544"/>
              </w:tabs>
              <w:spacing w:line="360" w:lineRule="auto"/>
              <w:jc w:val="center"/>
              <w:cnfStyle w:val="000000000000"/>
              <w:rPr>
                <w:rFonts w:cs="Arial"/>
              </w:rPr>
            </w:pPr>
            <w:r>
              <w:rPr>
                <w:rFonts w:cs="Arial"/>
              </w:rPr>
              <w:t>95,21%</w:t>
            </w:r>
          </w:p>
        </w:tc>
      </w:tr>
    </w:tbl>
    <w:p w:rsidR="00D66087" w:rsidRDefault="00D66087" w:rsidP="00D66087">
      <w:pPr>
        <w:tabs>
          <w:tab w:val="left" w:pos="3544"/>
        </w:tabs>
        <w:spacing w:line="360" w:lineRule="auto"/>
        <w:jc w:val="both"/>
        <w:rPr>
          <w:rFonts w:cs="Arial"/>
        </w:rPr>
      </w:pPr>
      <w:r>
        <w:rPr>
          <w:rFonts w:cs="Arial"/>
        </w:rPr>
        <w:t xml:space="preserve"> </w:t>
      </w:r>
    </w:p>
    <w:p w:rsidR="00D66087" w:rsidRDefault="00D66087" w:rsidP="00D66087">
      <w:pPr>
        <w:tabs>
          <w:tab w:val="left" w:pos="3544"/>
        </w:tabs>
        <w:spacing w:line="360" w:lineRule="auto"/>
        <w:jc w:val="both"/>
        <w:rPr>
          <w:rFonts w:cs="Arial"/>
        </w:rPr>
      </w:pPr>
      <w:r>
        <w:rPr>
          <w:rFonts w:cs="Arial"/>
        </w:rPr>
        <w:t>Realizando a ponderação indicada na tabela acima, considerando a projeção de TJLP utilizada no exercício (5,5%), para efeito do cálculo, o custo médio contratual nominal foi considerado como 11,60%, em vez de 12,00%.</w:t>
      </w:r>
    </w:p>
    <w:p w:rsidR="00D66087" w:rsidRPr="00020E16" w:rsidRDefault="00D66087" w:rsidP="00D66087">
      <w:pPr>
        <w:tabs>
          <w:tab w:val="left" w:pos="3544"/>
        </w:tabs>
        <w:spacing w:line="360" w:lineRule="auto"/>
        <w:jc w:val="both"/>
        <w:rPr>
          <w:rFonts w:cs="Arial"/>
        </w:rPr>
      </w:pPr>
    </w:p>
    <w:p w:rsidR="00D66087" w:rsidRDefault="00D66087" w:rsidP="003B5F38">
      <w:pPr>
        <w:spacing w:line="360" w:lineRule="auto"/>
        <w:jc w:val="both"/>
      </w:pPr>
    </w:p>
    <w:p w:rsidR="004A6339" w:rsidRDefault="004A6339" w:rsidP="003B5F38">
      <w:pPr>
        <w:spacing w:line="360" w:lineRule="auto"/>
        <w:jc w:val="both"/>
      </w:pPr>
    </w:p>
    <w:p w:rsidR="005D69D9" w:rsidRPr="005D69D9" w:rsidRDefault="00E74CC3" w:rsidP="005D69D9">
      <w:pPr>
        <w:pStyle w:val="Ttulo2"/>
        <w:numPr>
          <w:ilvl w:val="1"/>
          <w:numId w:val="15"/>
        </w:numPr>
        <w:spacing w:after="120"/>
        <w:ind w:left="765" w:hanging="405"/>
      </w:pPr>
      <w:r>
        <w:t xml:space="preserve"> Base de Ativos</w:t>
      </w:r>
    </w:p>
    <w:p w:rsidR="00E74CC3" w:rsidRDefault="00E74CC3" w:rsidP="003B5F38">
      <w:pPr>
        <w:spacing w:line="360" w:lineRule="auto"/>
        <w:jc w:val="both"/>
      </w:pPr>
      <w:r>
        <w:t xml:space="preserve">O ET04 traz a metodologia de </w:t>
      </w:r>
      <w:r w:rsidR="008314A0">
        <w:t>apuração d</w:t>
      </w:r>
      <w:r>
        <w:t xml:space="preserve">a base de ativos. </w:t>
      </w:r>
      <w:r w:rsidR="008314A0">
        <w:t xml:space="preserve">Conforme mencionado na NT4, trataremos deste tema nesta </w:t>
      </w:r>
      <w:r>
        <w:t>seção.</w:t>
      </w:r>
    </w:p>
    <w:p w:rsidR="002F2E2E" w:rsidRDefault="00E74CC3" w:rsidP="003B5F38">
      <w:pPr>
        <w:spacing w:line="360" w:lineRule="auto"/>
        <w:jc w:val="both"/>
      </w:pPr>
      <w:r>
        <w:t xml:space="preserve">Em linhas gerais, </w:t>
      </w:r>
      <w:r w:rsidR="008314A0">
        <w:t xml:space="preserve">os valores </w:t>
      </w:r>
      <w:r w:rsidR="00D0320C">
        <w:t xml:space="preserve">estimados para </w:t>
      </w:r>
      <w:r w:rsidR="002F2E2E">
        <w:t xml:space="preserve">a base de ativos líquida em 2012 </w:t>
      </w:r>
      <w:r w:rsidR="008314A0">
        <w:t>t</w:t>
      </w:r>
      <w:r w:rsidR="00D0320C">
        <w:t>ê</w:t>
      </w:r>
      <w:r w:rsidR="008314A0">
        <w:t>m como base o</w:t>
      </w:r>
      <w:r w:rsidR="00D0320C">
        <w:t xml:space="preserve"> balanço patrimonial publicado em dezembro d</w:t>
      </w:r>
      <w:r w:rsidR="002F2E2E">
        <w:t xml:space="preserve">o </w:t>
      </w:r>
      <w:r w:rsidR="00566404">
        <w:t xml:space="preserve">referido </w:t>
      </w:r>
      <w:r w:rsidR="002F2E2E">
        <w:t>ano</w:t>
      </w:r>
      <w:r w:rsidR="00D0320C">
        <w:t>, que considera o</w:t>
      </w:r>
      <w:r w:rsidR="008314A0">
        <w:t xml:space="preserve">s </w:t>
      </w:r>
      <w:r w:rsidR="00D0320C">
        <w:t xml:space="preserve">valores </w:t>
      </w:r>
      <w:r w:rsidR="002F2E2E">
        <w:t xml:space="preserve">para o período de 1999 a 2012 </w:t>
      </w:r>
      <w:r w:rsidR="00D0320C">
        <w:t xml:space="preserve">para os 47 municípios atendidos pela </w:t>
      </w:r>
      <w:proofErr w:type="spellStart"/>
      <w:r w:rsidR="00D0320C">
        <w:t>Foz|Saneatins</w:t>
      </w:r>
      <w:proofErr w:type="spellEnd"/>
      <w:r w:rsidR="00566404">
        <w:t xml:space="preserve"> no Estado do Tocantins</w:t>
      </w:r>
      <w:r w:rsidR="00D0320C">
        <w:t xml:space="preserve">. </w:t>
      </w:r>
    </w:p>
    <w:p w:rsidR="002F2E2E" w:rsidRDefault="002F2E2E" w:rsidP="003B5F38">
      <w:pPr>
        <w:spacing w:line="360" w:lineRule="auto"/>
        <w:jc w:val="both"/>
      </w:pPr>
      <w:r>
        <w:t>Para o</w:t>
      </w:r>
      <w:r w:rsidR="00693769">
        <w:t>s</w:t>
      </w:r>
      <w:r>
        <w:t xml:space="preserve"> ano</w:t>
      </w:r>
      <w:r w:rsidR="00693769">
        <w:t>s</w:t>
      </w:r>
      <w:r>
        <w:t xml:space="preserve"> subsequente</w:t>
      </w:r>
      <w:r w:rsidR="00693769">
        <w:t>s</w:t>
      </w:r>
      <w:r>
        <w:t xml:space="preserve">, </w:t>
      </w:r>
      <w:r w:rsidR="00693769">
        <w:t>foram</w:t>
      </w:r>
      <w:r w:rsidR="00355F44">
        <w:t xml:space="preserve"> somados à base de 2012 </w:t>
      </w:r>
      <w:r>
        <w:t>o</w:t>
      </w:r>
      <w:r w:rsidR="00693769">
        <w:t>s</w:t>
      </w:r>
      <w:r>
        <w:t xml:space="preserve"> fluxos de investimentos previstos </w:t>
      </w:r>
      <w:r w:rsidR="00355F44">
        <w:t>para</w:t>
      </w:r>
      <w:r>
        <w:t xml:space="preserve"> cada ano</w:t>
      </w:r>
      <w:r w:rsidR="00355F44">
        <w:t>, descontada a depreciação</w:t>
      </w:r>
      <w:r>
        <w:t>. A depreciação</w:t>
      </w:r>
      <w:r w:rsidR="00355F44">
        <w:t xml:space="preserve">, por sua vez, </w:t>
      </w:r>
      <w:r w:rsidR="00693769">
        <w:t>foi</w:t>
      </w:r>
      <w:r w:rsidR="00355F44">
        <w:t xml:space="preserve"> </w:t>
      </w:r>
      <w:r>
        <w:t xml:space="preserve">calculada linearmente em função do tempo, tomando como </w:t>
      </w:r>
      <w:r w:rsidR="00693769">
        <w:t>vencimento final o ano de 2030.</w:t>
      </w:r>
    </w:p>
    <w:p w:rsidR="005D69D9" w:rsidRDefault="007D40F7" w:rsidP="005D69D9">
      <w:pPr>
        <w:spacing w:line="360" w:lineRule="auto"/>
        <w:jc w:val="both"/>
      </w:pPr>
      <w:r>
        <w:t xml:space="preserve">Sobre a </w:t>
      </w:r>
      <w:r w:rsidR="00302DB5">
        <w:t xml:space="preserve">base de ativos líquida </w:t>
      </w:r>
      <w:r>
        <w:t xml:space="preserve">estimada para o ano base (2013), foi </w:t>
      </w:r>
      <w:r w:rsidR="00302DB5">
        <w:t>aplica</w:t>
      </w:r>
      <w:r>
        <w:t>do um</w:t>
      </w:r>
      <w:r w:rsidR="00302DB5">
        <w:t xml:space="preserve"> </w:t>
      </w:r>
      <w:r w:rsidR="00E74CC3">
        <w:t xml:space="preserve">redutor de </w:t>
      </w:r>
      <w:r w:rsidR="00E74CC3" w:rsidRPr="004D4A18">
        <w:t>1</w:t>
      </w:r>
      <w:r w:rsidR="00A87C3E" w:rsidRPr="004D4A18">
        <w:t>1,86</w:t>
      </w:r>
      <w:r w:rsidR="00E74CC3" w:rsidRPr="004D4A18">
        <w:t>%.</w:t>
      </w:r>
      <w:r w:rsidR="00E74CC3">
        <w:t xml:space="preserve"> </w:t>
      </w:r>
      <w:r>
        <w:t>Este</w:t>
      </w:r>
      <w:r w:rsidR="00E74CC3">
        <w:t xml:space="preserve"> fator de redução </w:t>
      </w:r>
      <w:r>
        <w:t xml:space="preserve">é coerente com o </w:t>
      </w:r>
      <w:r w:rsidR="00C556F2">
        <w:t>resultado d</w:t>
      </w:r>
      <w:r w:rsidR="00D0320C">
        <w:t>a a</w:t>
      </w:r>
      <w:r>
        <w:t>uditoria</w:t>
      </w:r>
      <w:r w:rsidR="00D0320C">
        <w:t xml:space="preserve"> realizada pela ATR</w:t>
      </w:r>
      <w:r>
        <w:t xml:space="preserve"> sobre a base de ativos da concessionária</w:t>
      </w:r>
      <w:r w:rsidR="00D0320C">
        <w:t>, conforme previsto no artigo 4º da Resolução ATR 076/13</w:t>
      </w:r>
      <w:r w:rsidR="00C556F2">
        <w:t xml:space="preserve">, </w:t>
      </w:r>
      <w:r w:rsidR="005C4CC3">
        <w:t xml:space="preserve">sendo </w:t>
      </w:r>
      <w:r w:rsidR="00C556F2">
        <w:t xml:space="preserve">que </w:t>
      </w:r>
      <w:r w:rsidR="005C4CC3">
        <w:t>o estudo de campo resultou em validação de</w:t>
      </w:r>
      <w:r w:rsidR="00C556F2">
        <w:t xml:space="preserve"> </w:t>
      </w:r>
      <w:r w:rsidR="00C556F2" w:rsidRPr="004D4A18">
        <w:t>8</w:t>
      </w:r>
      <w:r w:rsidR="00A87C3E" w:rsidRPr="004D4A18">
        <w:t>8,14</w:t>
      </w:r>
      <w:r w:rsidR="00C556F2" w:rsidRPr="004D4A18">
        <w:t>%</w:t>
      </w:r>
      <w:r w:rsidR="00C556F2">
        <w:t xml:space="preserve"> dos ativos declarados sobre o solo (</w:t>
      </w:r>
      <w:r>
        <w:t xml:space="preserve">sendo o </w:t>
      </w:r>
      <w:r w:rsidR="00C556F2">
        <w:t xml:space="preserve">mesmo percentual de reconhecimento </w:t>
      </w:r>
      <w:r>
        <w:t xml:space="preserve">também considerado </w:t>
      </w:r>
      <w:r w:rsidR="00C556F2">
        <w:t>para os ativos no subsolo).</w:t>
      </w:r>
      <w:r w:rsidR="005D69D9" w:rsidRPr="005D69D9">
        <w:t xml:space="preserve"> </w:t>
      </w:r>
    </w:p>
    <w:p w:rsidR="00693769" w:rsidRDefault="00693769" w:rsidP="005D69D9">
      <w:pPr>
        <w:spacing w:line="360" w:lineRule="auto"/>
        <w:jc w:val="both"/>
      </w:pPr>
    </w:p>
    <w:p w:rsidR="005D69D9" w:rsidRDefault="005D69D9" w:rsidP="005D69D9">
      <w:pPr>
        <w:pStyle w:val="Ttulo2"/>
        <w:numPr>
          <w:ilvl w:val="0"/>
          <w:numId w:val="20"/>
        </w:numPr>
        <w:spacing w:after="120"/>
        <w:ind w:left="851"/>
      </w:pPr>
      <w:r>
        <w:t xml:space="preserve"> Investimento Não Remunerado</w:t>
      </w:r>
    </w:p>
    <w:p w:rsidR="00CB5346" w:rsidRDefault="005D69D9" w:rsidP="003B5F38">
      <w:pPr>
        <w:spacing w:line="360" w:lineRule="auto"/>
        <w:jc w:val="both"/>
      </w:pPr>
      <w:r>
        <w:t xml:space="preserve">Segundo os contratos de concessão </w:t>
      </w:r>
      <w:r w:rsidR="00392812">
        <w:t xml:space="preserve">firmados </w:t>
      </w:r>
      <w:r>
        <w:t xml:space="preserve">entre os municípios e a </w:t>
      </w:r>
      <w:proofErr w:type="spellStart"/>
      <w:r w:rsidR="00392812">
        <w:t>Foz|Saneatins</w:t>
      </w:r>
      <w:proofErr w:type="spellEnd"/>
      <w:r>
        <w:t xml:space="preserve">, os prejuízos decorrentes </w:t>
      </w:r>
      <w:r w:rsidR="00392812">
        <w:t xml:space="preserve">da impossibilidade de </w:t>
      </w:r>
      <w:r>
        <w:t xml:space="preserve">reajuste ou revisão de tarifas deverão ser </w:t>
      </w:r>
      <w:r w:rsidR="008973ED">
        <w:t>tratado</w:t>
      </w:r>
      <w:r>
        <w:t xml:space="preserve">s como investimento reconhecido ou indenizado pelo Titular, conforme exemplo mencionado </w:t>
      </w:r>
      <w:r w:rsidR="00392812">
        <w:t xml:space="preserve">no ET04 </w:t>
      </w:r>
      <w:r>
        <w:t xml:space="preserve">referente ao </w:t>
      </w:r>
      <w:r w:rsidR="00392812">
        <w:t>C</w:t>
      </w:r>
      <w:r>
        <w:t>ontrato de Palmas (itens 4.5 e 4.6 do ET04).</w:t>
      </w:r>
      <w:r w:rsidR="00392812">
        <w:t xml:space="preserve"> O investimento não amortizado fará jus à remuneração de TJLP acrescida de 12% a.a. ou da taxa contratada</w:t>
      </w:r>
      <w:r w:rsidR="004D4A18">
        <w:t>,</w:t>
      </w:r>
      <w:r w:rsidR="00392812">
        <w:t xml:space="preserve"> em caso de financiamento específico.</w:t>
      </w:r>
      <w:r w:rsidR="00302DB5">
        <w:t xml:space="preserve"> </w:t>
      </w:r>
    </w:p>
    <w:p w:rsidR="00E74CC3" w:rsidRDefault="004D4A18" w:rsidP="003B5F38">
      <w:pPr>
        <w:spacing w:line="360" w:lineRule="auto"/>
        <w:jc w:val="both"/>
      </w:pPr>
      <w:r>
        <w:t>Tal</w:t>
      </w:r>
      <w:r w:rsidR="00302DB5">
        <w:t xml:space="preserve"> recomposição é fundamental para a </w:t>
      </w:r>
      <w:r w:rsidR="00CB5346">
        <w:t>preservação de um ambiente favorável aos investimentos no Tocantins, tendo em vista que a falta d</w:t>
      </w:r>
      <w:r>
        <w:t>a</w:t>
      </w:r>
      <w:r w:rsidR="00CB5346">
        <w:t xml:space="preserve"> atualização tarifária </w:t>
      </w:r>
      <w:r>
        <w:t xml:space="preserve">apropriada </w:t>
      </w:r>
      <w:r w:rsidR="00CB5346">
        <w:t>cria desequilíbrio</w:t>
      </w:r>
      <w:r>
        <w:t>s</w:t>
      </w:r>
      <w:r w:rsidR="00CB5346">
        <w:t xml:space="preserve"> econômico-financeiro</w:t>
      </w:r>
      <w:r>
        <w:t>s</w:t>
      </w:r>
      <w:r w:rsidR="00CB5346">
        <w:t xml:space="preserve"> </w:t>
      </w:r>
      <w:r>
        <w:t>para a empresa concessionária, elevando a</w:t>
      </w:r>
      <w:r w:rsidR="00CB5346">
        <w:t xml:space="preserve"> </w:t>
      </w:r>
      <w:r>
        <w:t>in</w:t>
      </w:r>
      <w:r w:rsidR="00CB5346">
        <w:t xml:space="preserve">segurança </w:t>
      </w:r>
      <w:r>
        <w:t>nas decisões</w:t>
      </w:r>
      <w:r w:rsidR="00CB5346">
        <w:t xml:space="preserve"> de </w:t>
      </w:r>
      <w:r w:rsidR="00CB5346">
        <w:lastRenderedPageBreak/>
        <w:t xml:space="preserve">investimentos </w:t>
      </w:r>
      <w:r>
        <w:t xml:space="preserve">adicionais necessários e que são </w:t>
      </w:r>
      <w:r w:rsidR="00CB5346">
        <w:t xml:space="preserve">de alto interesse econômico e social </w:t>
      </w:r>
      <w:r>
        <w:t>na</w:t>
      </w:r>
      <w:r w:rsidR="00CB5346">
        <w:t xml:space="preserve"> infraestrutura de saneamento</w:t>
      </w:r>
      <w:r>
        <w:t xml:space="preserve"> do </w:t>
      </w:r>
      <w:r w:rsidR="0016321E">
        <w:t>E</w:t>
      </w:r>
      <w:r>
        <w:t>stado</w:t>
      </w:r>
      <w:r w:rsidR="0016321E">
        <w:t xml:space="preserve"> do </w:t>
      </w:r>
      <w:r w:rsidR="00E32965">
        <w:t>Tocantins</w:t>
      </w:r>
      <w:r w:rsidR="00CB5346">
        <w:t>.</w:t>
      </w:r>
    </w:p>
    <w:p w:rsidR="00392812" w:rsidRDefault="005D69D9" w:rsidP="003B5F38">
      <w:pPr>
        <w:spacing w:line="360" w:lineRule="auto"/>
        <w:jc w:val="both"/>
      </w:pPr>
      <w:r>
        <w:t xml:space="preserve">A metodologia de cálculo </w:t>
      </w:r>
      <w:r w:rsidR="00392812">
        <w:t xml:space="preserve">para estimar o </w:t>
      </w:r>
      <w:r>
        <w:t xml:space="preserve">investimento não remunerado </w:t>
      </w:r>
      <w:r w:rsidR="00685415">
        <w:t xml:space="preserve">pela tarifa </w:t>
      </w:r>
      <w:r>
        <w:t xml:space="preserve">consta no ET04. </w:t>
      </w:r>
      <w:r w:rsidR="00392812">
        <w:t>Em linhas gerais, o lucro líquido da empresa deve ser suficiente para remunerar os investimentos, conforme representado algebricamente a seguir:</w:t>
      </w:r>
    </w:p>
    <w:p w:rsidR="00392812" w:rsidRPr="00B15962" w:rsidRDefault="00E46B37" w:rsidP="003B5F38">
      <w:pPr>
        <w:spacing w:line="360" w:lineRule="auto"/>
        <w:jc w:val="both"/>
      </w:pPr>
      <m:oMathPara>
        <m:oMath>
          <m:sSub>
            <m:sSubPr>
              <m:ctrlPr>
                <w:rPr>
                  <w:rFonts w:ascii="Cambria Math" w:hAnsi="Cambria Math"/>
                  <w:i/>
                </w:rPr>
              </m:ctrlPr>
            </m:sSubPr>
            <m:e>
              <m:r>
                <w:rPr>
                  <w:rFonts w:ascii="Cambria Math" w:hAnsi="Cambria Math"/>
                </w:rPr>
                <m:t>LL</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RL</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t</m:t>
              </m:r>
            </m:sub>
          </m:sSub>
        </m:oMath>
      </m:oMathPara>
    </w:p>
    <w:p w:rsidR="00B15962" w:rsidRDefault="00B15962" w:rsidP="003B5F38">
      <w:pPr>
        <w:spacing w:line="360" w:lineRule="auto"/>
        <w:jc w:val="both"/>
      </w:pPr>
      <w:r>
        <w:t>Com</w:t>
      </w:r>
      <w:r w:rsidR="00924E85">
        <w:t xml:space="preserve"> a</w:t>
      </w:r>
      <w:r>
        <w:t xml:space="preserve"> condição de equilíbrio em: </w:t>
      </w:r>
      <m:oMath>
        <m:sSub>
          <m:sSubPr>
            <m:ctrlPr>
              <w:rPr>
                <w:rFonts w:ascii="Cambria Math" w:hAnsi="Cambria Math"/>
                <w:i/>
              </w:rPr>
            </m:ctrlPr>
          </m:sSubPr>
          <m:e>
            <m:r>
              <w:rPr>
                <w:rFonts w:ascii="Cambria Math" w:hAnsi="Cambria Math"/>
              </w:rPr>
              <m:t>LL</m:t>
            </m:r>
          </m:e>
          <m:sub>
            <m:r>
              <w:rPr>
                <w:rFonts w:ascii="Cambria Math" w:hAnsi="Cambria Math"/>
              </w:rPr>
              <m:t>t</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AD</m:t>
                </m:r>
              </m:e>
              <m:sub>
                <m:r>
                  <w:rPr>
                    <w:rFonts w:ascii="Cambria Math" w:hAnsi="Cambria Math"/>
                  </w:rPr>
                  <m:t xml:space="preserve">t </m:t>
                </m:r>
              </m:sub>
            </m:sSub>
          </m:e>
        </m:d>
        <m:r>
          <w:rPr>
            <w:rFonts w:ascii="Cambria Math" w:hAnsi="Cambria Math"/>
          </w:rPr>
          <m:t>=0</m:t>
        </m:r>
      </m:oMath>
      <w:r>
        <w:t xml:space="preserve"> </w:t>
      </w:r>
    </w:p>
    <w:p w:rsidR="00B15962" w:rsidRDefault="00B15962" w:rsidP="003B5F38">
      <w:pPr>
        <w:spacing w:line="360" w:lineRule="auto"/>
        <w:jc w:val="both"/>
      </w:pPr>
      <w:r>
        <w:t>Em que:</w:t>
      </w:r>
    </w:p>
    <w:p w:rsidR="00B15962" w:rsidRDefault="00E46B37" w:rsidP="002B1810">
      <w:pPr>
        <w:spacing w:line="360" w:lineRule="auto"/>
        <w:ind w:left="708"/>
        <w:jc w:val="both"/>
      </w:pPr>
      <m:oMath>
        <m:sSub>
          <m:sSubPr>
            <m:ctrlPr>
              <w:rPr>
                <w:rFonts w:ascii="Cambria Math" w:hAnsi="Cambria Math"/>
                <w:i/>
              </w:rPr>
            </m:ctrlPr>
          </m:sSubPr>
          <m:e>
            <m:r>
              <w:rPr>
                <w:rFonts w:ascii="Cambria Math" w:hAnsi="Cambria Math"/>
              </w:rPr>
              <m:t>LL</m:t>
            </m:r>
          </m:e>
          <m:sub>
            <m:r>
              <w:rPr>
                <w:rFonts w:ascii="Cambria Math" w:hAnsi="Cambria Math"/>
              </w:rPr>
              <m:t>t</m:t>
            </m:r>
          </m:sub>
        </m:sSub>
      </m:oMath>
      <w:r w:rsidR="00B15962">
        <w:t xml:space="preserve"> = Lucro </w:t>
      </w:r>
      <w:r w:rsidR="009A0409">
        <w:t>L</w:t>
      </w:r>
      <w:r w:rsidR="00B15962">
        <w:t>íquido na data t.</w:t>
      </w:r>
    </w:p>
    <w:p w:rsidR="00B15962" w:rsidRDefault="00E46B37" w:rsidP="002B1810">
      <w:pPr>
        <w:spacing w:line="360" w:lineRule="auto"/>
        <w:ind w:left="708"/>
        <w:jc w:val="both"/>
      </w:pPr>
      <m:oMath>
        <m:sSub>
          <m:sSubPr>
            <m:ctrlPr>
              <w:rPr>
                <w:rFonts w:ascii="Cambria Math" w:hAnsi="Cambria Math"/>
                <w:i/>
              </w:rPr>
            </m:ctrlPr>
          </m:sSubPr>
          <m:e>
            <m:r>
              <w:rPr>
                <w:rFonts w:ascii="Cambria Math" w:hAnsi="Cambria Math"/>
              </w:rPr>
              <m:t>RL</m:t>
            </m:r>
          </m:e>
          <m:sub>
            <m:r>
              <w:rPr>
                <w:rFonts w:ascii="Cambria Math" w:hAnsi="Cambria Math"/>
              </w:rPr>
              <m:t>t</m:t>
            </m:r>
          </m:sub>
        </m:sSub>
      </m:oMath>
      <w:r w:rsidR="009A0409">
        <w:t xml:space="preserve"> = Receita Líquida na data t.</w:t>
      </w:r>
    </w:p>
    <w:p w:rsidR="009A0409" w:rsidRDefault="00E46B37" w:rsidP="002B1810">
      <w:pPr>
        <w:spacing w:line="360" w:lineRule="auto"/>
        <w:ind w:left="708"/>
        <w:jc w:val="both"/>
      </w:pPr>
      <m:oMath>
        <m:sSub>
          <m:sSubPr>
            <m:ctrlPr>
              <w:rPr>
                <w:rFonts w:ascii="Cambria Math" w:hAnsi="Cambria Math"/>
                <w:i/>
              </w:rPr>
            </m:ctrlPr>
          </m:sSubPr>
          <m:e>
            <m:r>
              <w:rPr>
                <w:rFonts w:ascii="Cambria Math" w:hAnsi="Cambria Math"/>
              </w:rPr>
              <m:t>C</m:t>
            </m:r>
          </m:e>
          <m:sub>
            <m:r>
              <w:rPr>
                <w:rFonts w:ascii="Cambria Math" w:hAnsi="Cambria Math"/>
              </w:rPr>
              <m:t>t</m:t>
            </m:r>
          </m:sub>
        </m:sSub>
      </m:oMath>
      <w:r w:rsidR="009A0409">
        <w:t xml:space="preserve">  = Total de Custos e Despesas na data t.</w:t>
      </w:r>
    </w:p>
    <w:p w:rsidR="009A0409" w:rsidRPr="009A0409" w:rsidRDefault="00E46B37" w:rsidP="002B1810">
      <w:pPr>
        <w:spacing w:line="360" w:lineRule="auto"/>
        <w:ind w:left="708"/>
        <w:jc w:val="both"/>
      </w:pPr>
      <m:oMath>
        <m:sSub>
          <m:sSubPr>
            <m:ctrlPr>
              <w:rPr>
                <w:rFonts w:ascii="Cambria Math" w:hAnsi="Cambria Math"/>
                <w:i/>
              </w:rPr>
            </m:ctrlPr>
          </m:sSubPr>
          <m:e>
            <m:r>
              <w:rPr>
                <w:rFonts w:ascii="Cambria Math" w:hAnsi="Cambria Math"/>
              </w:rPr>
              <m:t>T</m:t>
            </m:r>
          </m:e>
          <m:sub>
            <m:r>
              <w:rPr>
                <w:rFonts w:ascii="Cambria Math" w:hAnsi="Cambria Math"/>
              </w:rPr>
              <m:t>t</m:t>
            </m:r>
          </m:sub>
        </m:sSub>
      </m:oMath>
      <w:r w:rsidR="009A0409">
        <w:t xml:space="preserve">  = Custo com imposto de renda na data t.</w:t>
      </w:r>
    </w:p>
    <w:p w:rsidR="009A0409" w:rsidRDefault="00E46B37" w:rsidP="002B1810">
      <w:pPr>
        <w:spacing w:line="360" w:lineRule="auto"/>
        <w:ind w:left="708"/>
        <w:jc w:val="both"/>
      </w:pPr>
      <m:oMath>
        <m:sSub>
          <m:sSubPr>
            <m:ctrlPr>
              <w:rPr>
                <w:rFonts w:ascii="Cambria Math" w:hAnsi="Cambria Math"/>
                <w:i/>
              </w:rPr>
            </m:ctrlPr>
          </m:sSubPr>
          <m:e>
            <m:r>
              <w:rPr>
                <w:rFonts w:ascii="Cambria Math" w:hAnsi="Cambria Math"/>
              </w:rPr>
              <m:t>I</m:t>
            </m:r>
          </m:e>
          <m:sub>
            <m:r>
              <w:rPr>
                <w:rFonts w:ascii="Cambria Math" w:hAnsi="Cambria Math"/>
              </w:rPr>
              <m:t>t</m:t>
            </m:r>
          </m:sub>
        </m:sSub>
      </m:oMath>
      <w:r w:rsidR="004572D1">
        <w:t xml:space="preserve">  = Investimento na data t.</w:t>
      </w:r>
    </w:p>
    <w:p w:rsidR="004572D1" w:rsidRDefault="00E46B37" w:rsidP="002B1810">
      <w:pPr>
        <w:spacing w:line="360" w:lineRule="auto"/>
        <w:ind w:left="708"/>
        <w:jc w:val="both"/>
      </w:pPr>
      <m:oMath>
        <m:sSub>
          <m:sSubPr>
            <m:ctrlPr>
              <w:rPr>
                <w:rFonts w:ascii="Cambria Math" w:hAnsi="Cambria Math"/>
                <w:i/>
              </w:rPr>
            </m:ctrlPr>
          </m:sSubPr>
          <m:e>
            <m:r>
              <w:rPr>
                <w:rFonts w:ascii="Cambria Math" w:hAnsi="Cambria Math"/>
              </w:rPr>
              <m:t>AD</m:t>
            </m:r>
          </m:e>
          <m:sub>
            <m:r>
              <w:rPr>
                <w:rFonts w:ascii="Cambria Math" w:hAnsi="Cambria Math"/>
              </w:rPr>
              <m:t>t</m:t>
            </m:r>
          </m:sub>
        </m:sSub>
      </m:oMath>
      <w:r w:rsidR="004572D1">
        <w:t xml:space="preserve"> = Soma das Amortizações e Depreciações na data t.</w:t>
      </w:r>
    </w:p>
    <w:p w:rsidR="004572D1" w:rsidRDefault="00924E85" w:rsidP="003B5F38">
      <w:pPr>
        <w:spacing w:line="360" w:lineRule="auto"/>
        <w:jc w:val="both"/>
      </w:pPr>
      <w:r>
        <w:t>F</w:t>
      </w:r>
      <w:r w:rsidR="004572D1">
        <w:t>oram apurados o lucro líquido e o fluxo de investimentos</w:t>
      </w:r>
      <w:r>
        <w:t xml:space="preserve">, </w:t>
      </w:r>
      <w:r w:rsidR="004572D1">
        <w:t xml:space="preserve">de amortização e </w:t>
      </w:r>
      <w:r>
        <w:t xml:space="preserve">de </w:t>
      </w:r>
      <w:r w:rsidR="004572D1">
        <w:t xml:space="preserve">depreciação de cada ano </w:t>
      </w:r>
      <w:r>
        <w:t xml:space="preserve">durante </w:t>
      </w:r>
      <w:r w:rsidR="004572D1">
        <w:t>o período de 1999 a 2012. Os fluxos foram atualizados com base na taxa estabelecida nos contratos. O valor estimado como investimento não remunerado pela tarifa entre os anos de 1999 a 2012 é a somatória resultante da equação da condição de equilíbrio para cada ano.</w:t>
      </w:r>
    </w:p>
    <w:p w:rsidR="00682FE9" w:rsidRDefault="004D4A18" w:rsidP="003B5F38">
      <w:pPr>
        <w:spacing w:line="360" w:lineRule="auto"/>
        <w:jc w:val="both"/>
      </w:pPr>
      <w:r>
        <w:t>No tocante</w:t>
      </w:r>
      <w:r w:rsidR="00144822">
        <w:t xml:space="preserve"> à </w:t>
      </w:r>
      <w:r w:rsidR="004572D1">
        <w:t xml:space="preserve">metodologia de cálculo proposta pela </w:t>
      </w:r>
      <w:proofErr w:type="spellStart"/>
      <w:r>
        <w:t>Foz|Saneatins</w:t>
      </w:r>
      <w:proofErr w:type="spellEnd"/>
      <w:r w:rsidR="00144822">
        <w:t xml:space="preserve">, consideramos </w:t>
      </w:r>
      <w:r>
        <w:t xml:space="preserve">que </w:t>
      </w:r>
      <w:r w:rsidR="00144822">
        <w:t xml:space="preserve">a base de informações disponíveis dificilmente permitirá uma recuperação exata dos valores históricos relevantes. </w:t>
      </w:r>
      <w:r w:rsidR="00682FE9">
        <w:t xml:space="preserve">Assim, é necessário </w:t>
      </w:r>
      <w:r>
        <w:t>estimar o investimento não remunerado pela tarifa</w:t>
      </w:r>
      <w:r w:rsidR="00682FE9">
        <w:t xml:space="preserve"> segundo uma metodologia que prime pela razoabilidade. No caso em </w:t>
      </w:r>
      <w:r>
        <w:t>questão</w:t>
      </w:r>
      <w:r w:rsidR="00682FE9">
        <w:t>, propomos aplicar, sobre os valores passados, o mesmo tratamento empregado para os valores futuros, tanto quanto à construção da base de ativos (investimentos e depreciação) quanto no cálculo dos resultados através da dedução dos custos operacionais e despesas.</w:t>
      </w:r>
    </w:p>
    <w:p w:rsidR="00682FE9" w:rsidRDefault="00144822" w:rsidP="003B5F38">
      <w:pPr>
        <w:spacing w:line="360" w:lineRule="auto"/>
        <w:jc w:val="both"/>
      </w:pPr>
      <w:r>
        <w:lastRenderedPageBreak/>
        <w:t>Assim, optamos por tratar os valores passados com os mesmos parâmetros que foram aplicados para os valores futuros previstos no estudo tarifário.</w:t>
      </w:r>
      <w:r w:rsidR="00682FE9">
        <w:t xml:space="preserve"> Quanto à base de ativos, t</w:t>
      </w:r>
      <w:r w:rsidR="00924E85">
        <w:t>ambém neste caso,</w:t>
      </w:r>
      <w:r w:rsidR="004572D1">
        <w:t xml:space="preserve"> optamos pela redução de </w:t>
      </w:r>
      <w:r w:rsidR="004572D1" w:rsidRPr="004D4A18">
        <w:t>1</w:t>
      </w:r>
      <w:r w:rsidR="00A87C3E" w:rsidRPr="004D4A18">
        <w:t>1,86</w:t>
      </w:r>
      <w:r w:rsidR="004572D1" w:rsidRPr="004D4A18">
        <w:t>% n</w:t>
      </w:r>
      <w:r w:rsidR="004572D1">
        <w:t xml:space="preserve">o </w:t>
      </w:r>
      <w:r w:rsidR="004D4A18">
        <w:t xml:space="preserve">montante </w:t>
      </w:r>
      <w:r w:rsidR="00682FE9">
        <w:t xml:space="preserve">apresentado </w:t>
      </w:r>
      <w:r w:rsidR="004572D1">
        <w:t xml:space="preserve">pela </w:t>
      </w:r>
      <w:proofErr w:type="spellStart"/>
      <w:r w:rsidR="004572D1">
        <w:t>Foz|Saneatins</w:t>
      </w:r>
      <w:proofErr w:type="spellEnd"/>
      <w:r w:rsidR="004572D1">
        <w:t>, pela mesma razão da dedução praticada na base de ativos líquida</w:t>
      </w:r>
      <w:r w:rsidR="004D4A18">
        <w:t>,</w:t>
      </w:r>
      <w:r w:rsidR="004572D1">
        <w:t xml:space="preserve"> tratada no item anterior.</w:t>
      </w:r>
      <w:r w:rsidR="00682FE9">
        <w:t xml:space="preserve"> Os custos operacionais, em bases retrospectivas, </w:t>
      </w:r>
      <w:r>
        <w:t>foram deduzidos do mesmo percentual de glosas que foi aplicado</w:t>
      </w:r>
      <w:r w:rsidR="00F44DE5">
        <w:t>, em bases prospectivas,</w:t>
      </w:r>
      <w:r>
        <w:t xml:space="preserve"> no estudo para o ciclo tarifário</w:t>
      </w:r>
      <w:r w:rsidR="00F44DE5">
        <w:t xml:space="preserve"> apresentado pel</w:t>
      </w:r>
      <w:r w:rsidR="004D4A18">
        <w:t>a</w:t>
      </w:r>
      <w:r w:rsidR="00F44DE5">
        <w:t xml:space="preserve"> concessionári</w:t>
      </w:r>
      <w:r w:rsidR="004D4A18">
        <w:t>a</w:t>
      </w:r>
      <w:r w:rsidR="00F44DE5">
        <w:t>.</w:t>
      </w:r>
    </w:p>
    <w:p w:rsidR="004572D1" w:rsidRDefault="00F44DE5" w:rsidP="003B5F38">
      <w:pPr>
        <w:spacing w:line="360" w:lineRule="auto"/>
        <w:jc w:val="both"/>
      </w:pPr>
      <w:r>
        <w:t>Com a aplicação dessas deduções e glosas</w:t>
      </w:r>
      <w:r w:rsidR="00144822">
        <w:t>, obtivemos um valor sensivelmente menor dos</w:t>
      </w:r>
      <w:r>
        <w:t xml:space="preserve"> investimentos não reconhecidos</w:t>
      </w:r>
      <w:r w:rsidR="004D4A18">
        <w:t>,</w:t>
      </w:r>
      <w:r>
        <w:t xml:space="preserve"> </w:t>
      </w:r>
      <w:r w:rsidR="00144822">
        <w:t>que foram previstos nas cláusulas contratuais respectivas.</w:t>
      </w:r>
      <w:r w:rsidR="00682FE9">
        <w:t xml:space="preserve"> O valor </w:t>
      </w:r>
      <w:r w:rsidR="004D4A18" w:rsidRPr="007A2FF8">
        <w:t>estimado</w:t>
      </w:r>
      <w:r w:rsidR="00682FE9" w:rsidRPr="007A2FF8">
        <w:t xml:space="preserve"> </w:t>
      </w:r>
      <w:r w:rsidR="004D4A18" w:rsidRPr="007A2FF8">
        <w:t xml:space="preserve">pela </w:t>
      </w:r>
      <w:proofErr w:type="spellStart"/>
      <w:r w:rsidR="004D4A18" w:rsidRPr="007A2FF8">
        <w:t>Foz|Saneatins</w:t>
      </w:r>
      <w:proofErr w:type="spellEnd"/>
      <w:r w:rsidR="004D4A18" w:rsidRPr="007A2FF8">
        <w:t>, como montante de investimento não remunerado pela tarifa, é</w:t>
      </w:r>
      <w:r w:rsidR="00682FE9" w:rsidRPr="007A2FF8">
        <w:t xml:space="preserve"> de R$ 333</w:t>
      </w:r>
      <w:r w:rsidR="004D4A18" w:rsidRPr="007A2FF8">
        <w:t>,</w:t>
      </w:r>
      <w:r w:rsidR="00B05703" w:rsidRPr="007A2FF8">
        <w:t>4</w:t>
      </w:r>
      <w:r w:rsidR="00682FE9" w:rsidRPr="007A2FF8">
        <w:t xml:space="preserve"> </w:t>
      </w:r>
      <w:r w:rsidR="00B05703" w:rsidRPr="007A2FF8">
        <w:t>mil</w:t>
      </w:r>
      <w:r w:rsidR="004D4A18" w:rsidRPr="007A2FF8">
        <w:t>hões</w:t>
      </w:r>
      <w:r w:rsidR="00682FE9" w:rsidRPr="007A2FF8">
        <w:t xml:space="preserve">. </w:t>
      </w:r>
      <w:r w:rsidRPr="007A2FF8">
        <w:t>Com a aplicação desses descontos, os investimentos não reconhecidos</w:t>
      </w:r>
      <w:r w:rsidR="007A2FF8" w:rsidRPr="007A2FF8">
        <w:t>,</w:t>
      </w:r>
      <w:r w:rsidRPr="007A2FF8">
        <w:t xml:space="preserve"> que foram validados para fins regulatórios deste processo de revisão</w:t>
      </w:r>
      <w:r w:rsidR="007A2FF8" w:rsidRPr="007A2FF8">
        <w:t>,</w:t>
      </w:r>
      <w:r w:rsidRPr="007A2FF8">
        <w:t xml:space="preserve"> montam a R$ 22</w:t>
      </w:r>
      <w:r w:rsidR="00B05703" w:rsidRPr="007A2FF8">
        <w:t>5</w:t>
      </w:r>
      <w:r w:rsidR="007A2FF8" w:rsidRPr="007A2FF8">
        <w:t>,9</w:t>
      </w:r>
      <w:r w:rsidR="00B05703" w:rsidRPr="007A2FF8">
        <w:t xml:space="preserve"> mil</w:t>
      </w:r>
      <w:r w:rsidR="007A2FF8" w:rsidRPr="007A2FF8">
        <w:t>hões</w:t>
      </w:r>
      <w:r w:rsidRPr="007A2FF8">
        <w:t>. Note-se que os valores que foram reduzidos em relação ao pleito d</w:t>
      </w:r>
      <w:r w:rsidR="007A2FF8" w:rsidRPr="007A2FF8">
        <w:t>a</w:t>
      </w:r>
      <w:r w:rsidRPr="007A2FF8">
        <w:t xml:space="preserve"> concessionári</w:t>
      </w:r>
      <w:r w:rsidR="007A2FF8" w:rsidRPr="007A2FF8">
        <w:t>a</w:t>
      </w:r>
      <w:r w:rsidRPr="007A2FF8">
        <w:t xml:space="preserve">, no montante de R$ </w:t>
      </w:r>
      <w:r w:rsidR="00B05703" w:rsidRPr="007A2FF8">
        <w:t>107</w:t>
      </w:r>
      <w:r w:rsidR="007A2FF8" w:rsidRPr="007A2FF8">
        <w:t>,</w:t>
      </w:r>
      <w:r w:rsidR="00B05703" w:rsidRPr="007A2FF8">
        <w:t>5 mil</w:t>
      </w:r>
      <w:r w:rsidR="007A2FF8" w:rsidRPr="007A2FF8">
        <w:t>hões</w:t>
      </w:r>
      <w:r w:rsidRPr="007A2FF8">
        <w:t>, foram ajustados pelo efeito diferencial da depreciação e dos tributos incidentes sobre o lucro, pois estes devem ser ajustados</w:t>
      </w:r>
      <w:r>
        <w:t xml:space="preserve"> em conformidade com a mudança do fluxo de caixa respectivo.</w:t>
      </w:r>
    </w:p>
    <w:p w:rsidR="00823FC7" w:rsidRDefault="005A01E8" w:rsidP="003B5F38">
      <w:pPr>
        <w:spacing w:line="360" w:lineRule="auto"/>
        <w:jc w:val="both"/>
      </w:pPr>
      <w:r>
        <w:t>Entretanto, para a implantação deste modelo a ATR reconheceu, de forma provisória, apenas o correspondente a 35%  (R$ 79.062.268,78) do total apurado (R$ 225.892.196,53), face ao requerido (333.4</w:t>
      </w:r>
      <w:r w:rsidR="001A2A27">
        <w:t xml:space="preserve">42.000,00), até que a empresa FOZ </w:t>
      </w:r>
      <w:proofErr w:type="spellStart"/>
      <w:r w:rsidR="001A2A27">
        <w:t>Saneatins</w:t>
      </w:r>
      <w:proofErr w:type="spellEnd"/>
      <w:r w:rsidR="001A2A27">
        <w:t xml:space="preserve"> apresente o resultado deste cálculo auditado por Auditoria Independente com registro de auditor no Cadastro Nacional de Auditores Independentes – CNAI</w:t>
      </w:r>
      <w:r w:rsidR="00AF20F0">
        <w:t>.</w:t>
      </w:r>
    </w:p>
    <w:p w:rsidR="00AF20F0" w:rsidRDefault="00AF20F0" w:rsidP="003B5F38">
      <w:pPr>
        <w:spacing w:line="360" w:lineRule="auto"/>
        <w:jc w:val="both"/>
      </w:pPr>
    </w:p>
    <w:p w:rsidR="002713BC" w:rsidRDefault="002713BC" w:rsidP="002713BC">
      <w:pPr>
        <w:pStyle w:val="Ttulo1"/>
        <w:numPr>
          <w:ilvl w:val="0"/>
          <w:numId w:val="15"/>
        </w:numPr>
        <w:spacing w:before="0" w:after="200" w:line="360" w:lineRule="auto"/>
        <w:ind w:left="357" w:hanging="357"/>
        <w:jc w:val="both"/>
      </w:pPr>
      <w:bookmarkStart w:id="15" w:name="_Toc378193743"/>
      <w:r>
        <w:t>O tratamento das receitas</w:t>
      </w:r>
      <w:bookmarkEnd w:id="15"/>
    </w:p>
    <w:p w:rsidR="003B5F38" w:rsidRDefault="00793987" w:rsidP="002713BC">
      <w:pPr>
        <w:spacing w:line="360" w:lineRule="auto"/>
        <w:jc w:val="both"/>
      </w:pPr>
      <w:r>
        <w:t xml:space="preserve">Neta seção trataremos da separação das receitas da </w:t>
      </w:r>
      <w:proofErr w:type="spellStart"/>
      <w:r>
        <w:t>Foz|Saneatins</w:t>
      </w:r>
      <w:proofErr w:type="spellEnd"/>
      <w:r>
        <w:t>, conforme determinado pela Resolução ATR 076/13.</w:t>
      </w:r>
    </w:p>
    <w:p w:rsidR="00793987" w:rsidRDefault="00793987" w:rsidP="002713BC">
      <w:pPr>
        <w:spacing w:line="360" w:lineRule="auto"/>
        <w:jc w:val="both"/>
      </w:pPr>
    </w:p>
    <w:p w:rsidR="00E63E5F" w:rsidRDefault="00E63E5F" w:rsidP="00E63E5F">
      <w:pPr>
        <w:pStyle w:val="Ttulo2"/>
        <w:numPr>
          <w:ilvl w:val="1"/>
          <w:numId w:val="15"/>
        </w:numPr>
        <w:spacing w:after="120"/>
        <w:ind w:left="765" w:hanging="405"/>
      </w:pPr>
      <w:r>
        <w:t xml:space="preserve">Receita Direta </w:t>
      </w:r>
      <w:r w:rsidR="00DC1D40">
        <w:t>de Água e de Esgoto</w:t>
      </w:r>
    </w:p>
    <w:p w:rsidR="00793987" w:rsidRDefault="00793987" w:rsidP="00793987">
      <w:pPr>
        <w:spacing w:line="360" w:lineRule="auto"/>
        <w:jc w:val="both"/>
      </w:pPr>
      <w:r>
        <w:t>A</w:t>
      </w:r>
      <w:r w:rsidR="00711A37">
        <w:t>s</w:t>
      </w:r>
      <w:r>
        <w:t xml:space="preserve"> receita</w:t>
      </w:r>
      <w:r w:rsidR="00711A37">
        <w:t>s</w:t>
      </w:r>
      <w:r>
        <w:t xml:space="preserve"> direta</w:t>
      </w:r>
      <w:r w:rsidR="00711A37">
        <w:t>s</w:t>
      </w:r>
      <w:r>
        <w:t xml:space="preserve"> de água e de esgoto </w:t>
      </w:r>
      <w:r w:rsidR="00711A37">
        <w:t xml:space="preserve">dependem </w:t>
      </w:r>
      <w:r>
        <w:t>da tarifa e d</w:t>
      </w:r>
      <w:r w:rsidR="00711A37">
        <w:t xml:space="preserve">o volume faturado </w:t>
      </w:r>
      <w:r>
        <w:t>de água e de esgot</w:t>
      </w:r>
      <w:r w:rsidR="00E2426E">
        <w:t>amento sanitári</w:t>
      </w:r>
      <w:r>
        <w:t>o</w:t>
      </w:r>
      <w:r w:rsidR="00E2426E">
        <w:t xml:space="preserve">. A </w:t>
      </w:r>
      <w:r>
        <w:t xml:space="preserve">metodologia </w:t>
      </w:r>
      <w:r w:rsidR="00E2426E">
        <w:t>de projeção d</w:t>
      </w:r>
      <w:r w:rsidR="00711A37">
        <w:t>a</w:t>
      </w:r>
      <w:r w:rsidR="00E2426E">
        <w:t xml:space="preserve"> demanda está </w:t>
      </w:r>
      <w:r>
        <w:t>tratada no ET02</w:t>
      </w:r>
      <w:r w:rsidR="00711A37">
        <w:t>. V</w:t>
      </w:r>
      <w:r w:rsidR="00E2426E">
        <w:t>incula a evolução d</w:t>
      </w:r>
      <w:r w:rsidR="00711A37">
        <w:t>a demanda a</w:t>
      </w:r>
      <w:r w:rsidR="00E2426E">
        <w:t xml:space="preserve">o número de ligações de água e esgoto </w:t>
      </w:r>
      <w:r w:rsidR="00711A37">
        <w:t xml:space="preserve">que sejam </w:t>
      </w:r>
      <w:r w:rsidR="00E2426E">
        <w:t>com</w:t>
      </w:r>
      <w:r w:rsidR="00711A37">
        <w:t>patíveis com</w:t>
      </w:r>
      <w:r w:rsidR="00E2426E">
        <w:t xml:space="preserve"> as metas de manutenção do atendimento em água universalizado e mais do que triplicar o atendimento em </w:t>
      </w:r>
      <w:r w:rsidR="00E2426E">
        <w:lastRenderedPageBreak/>
        <w:t xml:space="preserve">esgotamento sanitário (de 27% para 79%) </w:t>
      </w:r>
      <w:r>
        <w:t>durante o período do ciclo tarifário 2014/2017.</w:t>
      </w:r>
      <w:r w:rsidR="00E2426E">
        <w:t xml:space="preserve"> O cálculo da tarifa</w:t>
      </w:r>
      <w:r w:rsidR="00711A37">
        <w:t>, por sua vez,</w:t>
      </w:r>
      <w:r w:rsidR="00E2426E">
        <w:t xml:space="preserve"> está presente </w:t>
      </w:r>
      <w:r w:rsidR="00711A37">
        <w:t>em</w:t>
      </w:r>
      <w:r w:rsidR="00E2426E">
        <w:t xml:space="preserve"> modelo descrito na próxima seção.</w:t>
      </w:r>
    </w:p>
    <w:p w:rsidR="00E63E5F" w:rsidRDefault="00E63E5F" w:rsidP="00E63E5F">
      <w:pPr>
        <w:spacing w:line="360" w:lineRule="auto"/>
        <w:jc w:val="both"/>
      </w:pPr>
    </w:p>
    <w:p w:rsidR="00E63E5F" w:rsidRPr="005D69D9" w:rsidRDefault="00DC1D40" w:rsidP="00E63E5F">
      <w:pPr>
        <w:pStyle w:val="Ttulo2"/>
        <w:numPr>
          <w:ilvl w:val="1"/>
          <w:numId w:val="15"/>
        </w:numPr>
        <w:spacing w:after="120"/>
        <w:ind w:left="765" w:hanging="405"/>
      </w:pPr>
      <w:r>
        <w:t>Receita Indireta</w:t>
      </w:r>
    </w:p>
    <w:p w:rsidR="00E63E5F" w:rsidRDefault="00793987" w:rsidP="00E63E5F">
      <w:pPr>
        <w:spacing w:line="360" w:lineRule="auto"/>
        <w:jc w:val="both"/>
      </w:pPr>
      <w:r>
        <w:t xml:space="preserve">A receita </w:t>
      </w:r>
      <w:r w:rsidR="005A705A">
        <w:t>in</w:t>
      </w:r>
      <w:r>
        <w:t xml:space="preserve">direta </w:t>
      </w:r>
      <w:r w:rsidR="00711A37">
        <w:t xml:space="preserve">está vinculada </w:t>
      </w:r>
      <w:r w:rsidR="005A705A">
        <w:t xml:space="preserve">aos serviços relacionados à atividade principal da empresa, por exemplo, substituição e religação de hidrômetros e desobstrução de ramais de esgoto. Para fins de projeção, a evolução das receitas indiretas </w:t>
      </w:r>
      <w:r w:rsidR="00711A37">
        <w:t>acompanhará</w:t>
      </w:r>
      <w:r w:rsidR="005A705A">
        <w:t xml:space="preserve"> o crescimento projetado </w:t>
      </w:r>
      <w:r w:rsidR="00711A37">
        <w:t xml:space="preserve">para </w:t>
      </w:r>
      <w:r w:rsidR="005A705A">
        <w:t>as ligações de água</w:t>
      </w:r>
      <w:r w:rsidR="00711A37">
        <w:t xml:space="preserve"> e de esgoto</w:t>
      </w:r>
      <w:r w:rsidR="005A705A">
        <w:t>.</w:t>
      </w:r>
    </w:p>
    <w:p w:rsidR="00DC1D40" w:rsidRDefault="00DC1D40" w:rsidP="00E63E5F">
      <w:pPr>
        <w:spacing w:line="360" w:lineRule="auto"/>
        <w:jc w:val="both"/>
      </w:pPr>
    </w:p>
    <w:p w:rsidR="00E63E5F" w:rsidRDefault="00DC1D40" w:rsidP="00E63E5F">
      <w:pPr>
        <w:pStyle w:val="Ttulo2"/>
        <w:numPr>
          <w:ilvl w:val="1"/>
          <w:numId w:val="15"/>
        </w:numPr>
        <w:spacing w:after="120"/>
        <w:ind w:left="765" w:hanging="405"/>
      </w:pPr>
      <w:r>
        <w:t>Receita Não Operacional</w:t>
      </w:r>
    </w:p>
    <w:p w:rsidR="005A705A" w:rsidRDefault="005A705A" w:rsidP="005A705A">
      <w:pPr>
        <w:spacing w:line="360" w:lineRule="auto"/>
        <w:jc w:val="both"/>
      </w:pPr>
      <w:r>
        <w:t xml:space="preserve">São receitas não enquadradas nas categorias anteriores, por exemplo, alienação de sucata, receita de execução de obras e multas. </w:t>
      </w:r>
      <w:r w:rsidR="00F71767">
        <w:t>Tais</w:t>
      </w:r>
      <w:r>
        <w:t xml:space="preserve"> receitas não foram consideradas para fins de cálculo da tarifa.</w:t>
      </w:r>
    </w:p>
    <w:p w:rsidR="00DC1D40" w:rsidRDefault="00DC1D40" w:rsidP="00DC1D40">
      <w:pPr>
        <w:rPr>
          <w:lang w:eastAsia="pt-BR"/>
        </w:rPr>
      </w:pPr>
    </w:p>
    <w:p w:rsidR="00E63E5F" w:rsidRDefault="00DC1D40" w:rsidP="00E63E5F">
      <w:pPr>
        <w:pStyle w:val="Ttulo2"/>
        <w:numPr>
          <w:ilvl w:val="1"/>
          <w:numId w:val="15"/>
        </w:numPr>
        <w:spacing w:after="120"/>
        <w:ind w:left="765" w:hanging="405"/>
      </w:pPr>
      <w:r>
        <w:t>Receita Irrecuperável</w:t>
      </w:r>
    </w:p>
    <w:p w:rsidR="005A705A" w:rsidRDefault="005A705A" w:rsidP="005A705A">
      <w:pPr>
        <w:spacing w:line="360" w:lineRule="auto"/>
        <w:jc w:val="both"/>
      </w:pPr>
      <w:r>
        <w:t>Refere</w:t>
      </w:r>
      <w:r w:rsidR="00F71767">
        <w:t>m</w:t>
      </w:r>
      <w:r>
        <w:t xml:space="preserve">-se às contas de água e de esgoto faturadas e não pagas, reconhecidas como crédito incobrável. Com base nas demonstrações contábeis de 2012, apurou-se que a participação destas “receitas” sobre </w:t>
      </w:r>
      <w:r w:rsidR="00436432">
        <w:t xml:space="preserve">a receita direta total </w:t>
      </w:r>
      <w:r w:rsidR="00F71767">
        <w:t>era</w:t>
      </w:r>
      <w:r w:rsidR="00436432">
        <w:t xml:space="preserve"> de aproximadamente 3,82%. Para fins de projeção, </w:t>
      </w:r>
      <w:r w:rsidR="00F71767">
        <w:t>assumiu-se que esta taxa permanecerá</w:t>
      </w:r>
      <w:r w:rsidR="00436432">
        <w:t xml:space="preserve"> constante </w:t>
      </w:r>
      <w:r w:rsidR="00F71767">
        <w:t>n</w:t>
      </w:r>
      <w:r w:rsidR="00436432">
        <w:t>o período de 2013 a 2017.</w:t>
      </w:r>
    </w:p>
    <w:p w:rsidR="00E63E5F" w:rsidRDefault="00E63E5F" w:rsidP="00E63E5F">
      <w:pPr>
        <w:spacing w:line="360" w:lineRule="auto"/>
        <w:jc w:val="both"/>
      </w:pPr>
    </w:p>
    <w:p w:rsidR="00E63E5F" w:rsidRDefault="00DC1D40" w:rsidP="00E63E5F">
      <w:pPr>
        <w:pStyle w:val="Ttulo2"/>
        <w:numPr>
          <w:ilvl w:val="1"/>
          <w:numId w:val="15"/>
        </w:numPr>
        <w:spacing w:after="120"/>
        <w:ind w:left="765" w:hanging="405"/>
      </w:pPr>
      <w:r>
        <w:t>Tributos sobre a Receita e sobre o Lucro</w:t>
      </w:r>
    </w:p>
    <w:p w:rsidR="00B178D3" w:rsidRDefault="00B178D3" w:rsidP="00B178D3">
      <w:pPr>
        <w:spacing w:line="360" w:lineRule="auto"/>
        <w:jc w:val="both"/>
      </w:pPr>
      <w:r>
        <w:t>Os tributos dependem diretamente da receita, que por sua vez, depende</w:t>
      </w:r>
      <w:r w:rsidR="00AB775F">
        <w:t>m</w:t>
      </w:r>
      <w:r>
        <w:t xml:space="preserve"> da tarifa. </w:t>
      </w:r>
    </w:p>
    <w:p w:rsidR="00B178D3" w:rsidRDefault="00B178D3" w:rsidP="00B178D3">
      <w:pPr>
        <w:spacing w:line="360" w:lineRule="auto"/>
        <w:jc w:val="both"/>
      </w:pPr>
      <w:r>
        <w:t xml:space="preserve">Para os tributos que incidem sobre o lucro, no caso, o Imposto de Renda (IR) e a Contribuição Social sobre o Lucro Líquido (CSLL), </w:t>
      </w:r>
      <w:r w:rsidR="00C0005B">
        <w:t>foram</w:t>
      </w:r>
      <w:r>
        <w:t xml:space="preserve"> mant</w:t>
      </w:r>
      <w:r w:rsidR="00C0005B">
        <w:t>idas</w:t>
      </w:r>
      <w:r>
        <w:t xml:space="preserve"> as alíquotas teóricas, sem considerar tratamento específico (como diferimentos), conforme adotado </w:t>
      </w:r>
      <w:r w:rsidR="00C0005B">
        <w:t>n</w:t>
      </w:r>
      <w:r>
        <w:t xml:space="preserve">o processo de revisão tarifária da Sabesp. </w:t>
      </w:r>
      <w:r w:rsidR="00C0005B">
        <w:t>Assim</w:t>
      </w:r>
      <w:r>
        <w:t xml:space="preserve">, as alíquotas adotadas para o IR e a CSLL </w:t>
      </w:r>
      <w:r w:rsidR="00AA4A2D">
        <w:t>foram</w:t>
      </w:r>
      <w:r w:rsidR="00C0005B">
        <w:t xml:space="preserve"> de, respectivamente,</w:t>
      </w:r>
      <w:r>
        <w:t xml:space="preserve"> 25% e 9%.</w:t>
      </w:r>
    </w:p>
    <w:p w:rsidR="00B178D3" w:rsidRDefault="00B178D3" w:rsidP="00B178D3">
      <w:pPr>
        <w:spacing w:line="360" w:lineRule="auto"/>
        <w:jc w:val="both"/>
      </w:pPr>
      <w:r>
        <w:lastRenderedPageBreak/>
        <w:t xml:space="preserve">Para o PIS/Pasep e </w:t>
      </w:r>
      <w:r w:rsidR="00AA4A2D">
        <w:t>a</w:t>
      </w:r>
      <w:r>
        <w:t xml:space="preserve"> COFINS, </w:t>
      </w:r>
      <w:r w:rsidR="00AA4A2D">
        <w:t>foi usada</w:t>
      </w:r>
      <w:r>
        <w:t xml:space="preserve"> uma alíquota efetiva, portanto, consider</w:t>
      </w:r>
      <w:r w:rsidR="00AA4A2D">
        <w:t>ando</w:t>
      </w:r>
      <w:r>
        <w:t xml:space="preserve"> o abatimento d</w:t>
      </w:r>
      <w:r w:rsidR="00AA4A2D">
        <w:t xml:space="preserve">estes </w:t>
      </w:r>
      <w:r>
        <w:t>imposto</w:t>
      </w:r>
      <w:r w:rsidR="00AA4A2D">
        <w:t>s</w:t>
      </w:r>
      <w:r>
        <w:t xml:space="preserve"> por meio de créditos tributários, por exemplo, compra de insumos. Assim, ao invés da alíquota teórica de 9,25%</w:t>
      </w:r>
      <w:r w:rsidR="00A936E6">
        <w:t>, foi considerada</w:t>
      </w:r>
      <w:r w:rsidR="00ED670B">
        <w:t xml:space="preserve"> a alíquota de 4,43% (apurada para o exercício de 2013).</w:t>
      </w:r>
    </w:p>
    <w:p w:rsidR="00E63E5F" w:rsidRDefault="00E63E5F" w:rsidP="00E63E5F">
      <w:pPr>
        <w:spacing w:line="360" w:lineRule="auto"/>
        <w:jc w:val="both"/>
      </w:pPr>
    </w:p>
    <w:p w:rsidR="00E63E5F" w:rsidRDefault="00DC1D40" w:rsidP="00E63E5F">
      <w:pPr>
        <w:pStyle w:val="Ttulo2"/>
        <w:numPr>
          <w:ilvl w:val="1"/>
          <w:numId w:val="15"/>
        </w:numPr>
        <w:spacing w:after="120"/>
        <w:ind w:left="765" w:hanging="405"/>
      </w:pPr>
      <w:r>
        <w:t>Taxa de Regulação</w:t>
      </w:r>
      <w:r w:rsidR="00ED670B">
        <w:t xml:space="preserve"> (TREG)</w:t>
      </w:r>
    </w:p>
    <w:p w:rsidR="00B178D3" w:rsidRDefault="002B0F90" w:rsidP="00B178D3">
      <w:pPr>
        <w:spacing w:line="360" w:lineRule="auto"/>
        <w:jc w:val="both"/>
      </w:pPr>
      <w:r>
        <w:t>A Resolução ATR 031/</w:t>
      </w:r>
      <w:r w:rsidR="00ED670B">
        <w:t>09 d</w:t>
      </w:r>
      <w:r>
        <w:t>ispõe sobre</w:t>
      </w:r>
      <w:r w:rsidR="00ED670B">
        <w:t xml:space="preserve"> o cálculo, a cobrança e o recolhimento da Taxa de Fiscalização sobre os Serviços Públicos Regulados (TREG)</w:t>
      </w:r>
      <w:r w:rsidR="00B178D3">
        <w:t>.</w:t>
      </w:r>
      <w:r w:rsidR="00ED670B">
        <w:t xml:space="preserve"> Segundo a Resolução, a TREG </w:t>
      </w:r>
      <w:r>
        <w:t xml:space="preserve">do ano t </w:t>
      </w:r>
      <w:r w:rsidR="00ED670B">
        <w:t xml:space="preserve">equivale a 0,5% das receitas </w:t>
      </w:r>
      <w:r>
        <w:t xml:space="preserve">líquidas </w:t>
      </w:r>
      <w:r w:rsidR="00ED670B">
        <w:t>referentes à prestação do serviço de distribui</w:t>
      </w:r>
      <w:r w:rsidR="00B057BA">
        <w:t>ção de água e esgotamento sanitário</w:t>
      </w:r>
      <w:r>
        <w:t xml:space="preserve"> no ano (t – 1), ou seja, deduzidas </w:t>
      </w:r>
      <w:r w:rsidR="00B057BA">
        <w:t xml:space="preserve">os impostos incidentes no </w:t>
      </w:r>
      <w:r>
        <w:t xml:space="preserve">processo de </w:t>
      </w:r>
      <w:r w:rsidR="00B057BA">
        <w:t>faturamento.</w:t>
      </w:r>
    </w:p>
    <w:p w:rsidR="00DF3B9F" w:rsidRDefault="00DF3B9F" w:rsidP="00DF3B9F">
      <w:pPr>
        <w:spacing w:line="360" w:lineRule="auto"/>
        <w:jc w:val="both"/>
      </w:pPr>
    </w:p>
    <w:p w:rsidR="00DF3B9F" w:rsidRDefault="00DF3B9F" w:rsidP="00DF3B9F">
      <w:pPr>
        <w:pStyle w:val="Ttulo1"/>
        <w:numPr>
          <w:ilvl w:val="0"/>
          <w:numId w:val="15"/>
        </w:numPr>
        <w:spacing w:before="0" w:after="200" w:line="360" w:lineRule="auto"/>
        <w:ind w:left="357" w:hanging="357"/>
        <w:jc w:val="both"/>
      </w:pPr>
      <w:bookmarkStart w:id="16" w:name="_Toc378193744"/>
      <w:r>
        <w:t>Cálculo da tarifa</w:t>
      </w:r>
      <w:bookmarkEnd w:id="16"/>
    </w:p>
    <w:p w:rsidR="002713BC" w:rsidRDefault="00AB775F" w:rsidP="00DF3B9F">
      <w:pPr>
        <w:spacing w:line="360" w:lineRule="auto"/>
        <w:jc w:val="both"/>
      </w:pPr>
      <w:r>
        <w:t xml:space="preserve">A tarifa regulatória resultante do trabalho aqui realizado incorpora os elementos metodológicos apresentados nas notas técnicas anteriores. </w:t>
      </w:r>
      <w:r w:rsidR="00DF3B9F">
        <w:t>A fórmula utilizada pa</w:t>
      </w:r>
      <w:r w:rsidR="00532A60">
        <w:t>ra o cálculo da tarifa segui</w:t>
      </w:r>
      <w:r w:rsidR="00C606B4">
        <w:t>u a que foi apresentada no ET6A:</w:t>
      </w:r>
      <w:r w:rsidR="00532A60">
        <w:t xml:space="preserve"> </w:t>
      </w:r>
    </w:p>
    <w:p w:rsidR="00532A60" w:rsidRDefault="00532A60" w:rsidP="00DF3B9F">
      <w:pPr>
        <w:spacing w:line="360" w:lineRule="auto"/>
        <w:jc w:val="both"/>
      </w:pPr>
    </w:p>
    <w:p w:rsidR="00532A60" w:rsidRDefault="00532A60" w:rsidP="00DF3B9F">
      <w:pPr>
        <w:spacing w:line="360" w:lineRule="auto"/>
        <w:jc w:val="both"/>
      </w:pPr>
      <m:oMathPara>
        <m:oMath>
          <m:r>
            <w:rPr>
              <w:rFonts w:ascii="Cambria Math" w:hAnsi="Cambria Math"/>
            </w:rPr>
            <m:t xml:space="preserve">P0A= </m:t>
          </m:r>
          <m:f>
            <m:fPr>
              <m:ctrlPr>
                <w:rPr>
                  <w:rFonts w:ascii="Cambria Math" w:hAnsi="Cambria Math"/>
                  <w:i/>
                </w:rPr>
              </m:ctrlPr>
            </m:fPr>
            <m:num>
              <m:r>
                <w:rPr>
                  <w:rFonts w:ascii="Cambria Math" w:hAnsi="Cambria Math"/>
                </w:rPr>
                <m:t>+BAI-BAF-RIN-RNO+RIR+II+OPEX+CAPEX+IRCL+TREG</m:t>
              </m:r>
            </m:num>
            <m:den>
              <m:d>
                <m:dPr>
                  <m:ctrlPr>
                    <w:rPr>
                      <w:rFonts w:ascii="Cambria Math" w:hAnsi="Cambria Math"/>
                      <w:i/>
                    </w:rPr>
                  </m:ctrlPr>
                </m:dPr>
                <m:e>
                  <m:r>
                    <w:rPr>
                      <w:rFonts w:ascii="Cambria Math" w:hAnsi="Cambria Math"/>
                    </w:rPr>
                    <m:t>VFA+0,8 . VF</m:t>
                  </m:r>
                  <m:r>
                    <w:rPr>
                      <w:rFonts w:ascii="Cambria Math" w:hAnsi="Cambria Math"/>
                    </w:rPr>
                    <m:t>E</m:t>
                  </m:r>
                </m:e>
              </m:d>
            </m:den>
          </m:f>
        </m:oMath>
      </m:oMathPara>
    </w:p>
    <w:p w:rsidR="00532A60" w:rsidRDefault="00532A60" w:rsidP="00DF3B9F">
      <w:pPr>
        <w:spacing w:line="360" w:lineRule="auto"/>
        <w:jc w:val="both"/>
      </w:pPr>
    </w:p>
    <w:p w:rsidR="00463F36" w:rsidRDefault="00463F36" w:rsidP="00DF3B9F">
      <w:pPr>
        <w:spacing w:line="360" w:lineRule="auto"/>
        <w:jc w:val="both"/>
      </w:pPr>
      <w:r>
        <w:t>Em que:</w:t>
      </w:r>
    </w:p>
    <w:p w:rsidR="00463F36" w:rsidRDefault="00463F36" w:rsidP="00DF3B9F">
      <w:pPr>
        <w:spacing w:line="360" w:lineRule="auto"/>
        <w:jc w:val="both"/>
      </w:pPr>
      <m:oMath>
        <m:r>
          <w:rPr>
            <w:rFonts w:ascii="Cambria Math" w:hAnsi="Cambria Math"/>
          </w:rPr>
          <m:t>POA</m:t>
        </m:r>
      </m:oMath>
      <w:r>
        <w:t xml:space="preserve"> = tarifa média de equilíbrio no ano t;</w:t>
      </w:r>
    </w:p>
    <w:p w:rsidR="00463F36" w:rsidRDefault="00463F36" w:rsidP="00DF3B9F">
      <w:pPr>
        <w:spacing w:line="360" w:lineRule="auto"/>
        <w:jc w:val="both"/>
      </w:pPr>
      <m:oMath>
        <m:r>
          <w:rPr>
            <w:rFonts w:ascii="Cambria Math" w:hAnsi="Cambria Math"/>
          </w:rPr>
          <m:t>BAI</m:t>
        </m:r>
      </m:oMath>
      <w:r>
        <w:t xml:space="preserve"> = base de ativos líquida inicial;</w:t>
      </w:r>
    </w:p>
    <w:p w:rsidR="00463F36" w:rsidRDefault="00463F36" w:rsidP="00DF3B9F">
      <w:pPr>
        <w:spacing w:line="360" w:lineRule="auto"/>
        <w:jc w:val="both"/>
      </w:pPr>
      <m:oMath>
        <m:r>
          <w:rPr>
            <w:rFonts w:ascii="Cambria Math" w:hAnsi="Cambria Math"/>
          </w:rPr>
          <m:t>BAF</m:t>
        </m:r>
      </m:oMath>
      <w:r>
        <w:t xml:space="preserve"> = base de ativos líquida final;</w:t>
      </w:r>
    </w:p>
    <w:p w:rsidR="00463F36" w:rsidRDefault="00463F36" w:rsidP="00DF3B9F">
      <w:pPr>
        <w:spacing w:line="360" w:lineRule="auto"/>
        <w:jc w:val="both"/>
      </w:pPr>
      <m:oMath>
        <m:r>
          <w:rPr>
            <w:rFonts w:ascii="Cambria Math" w:hAnsi="Cambria Math"/>
          </w:rPr>
          <m:t>RIN</m:t>
        </m:r>
      </m:oMath>
      <w:r>
        <w:t xml:space="preserve"> = receita indireta;</w:t>
      </w:r>
    </w:p>
    <w:p w:rsidR="00463F36" w:rsidRDefault="00463F36" w:rsidP="00DF3B9F">
      <w:pPr>
        <w:spacing w:line="360" w:lineRule="auto"/>
        <w:jc w:val="both"/>
      </w:pPr>
      <m:oMath>
        <m:r>
          <w:rPr>
            <w:rFonts w:ascii="Cambria Math" w:hAnsi="Cambria Math"/>
          </w:rPr>
          <m:t>RNO</m:t>
        </m:r>
      </m:oMath>
      <w:r>
        <w:t xml:space="preserve"> = receita não operacional;</w:t>
      </w:r>
    </w:p>
    <w:p w:rsidR="00463F36" w:rsidRDefault="00463F36" w:rsidP="00DF3B9F">
      <w:pPr>
        <w:spacing w:line="360" w:lineRule="auto"/>
        <w:jc w:val="both"/>
      </w:pPr>
      <m:oMath>
        <m:r>
          <w:rPr>
            <w:rFonts w:ascii="Cambria Math" w:hAnsi="Cambria Math"/>
          </w:rPr>
          <m:t>RIR</m:t>
        </m:r>
      </m:oMath>
      <w:r>
        <w:t xml:space="preserve"> = receita irrecuperável;</w:t>
      </w:r>
    </w:p>
    <w:p w:rsidR="00463F36" w:rsidRDefault="00463F36" w:rsidP="00DF3B9F">
      <w:pPr>
        <w:spacing w:line="360" w:lineRule="auto"/>
        <w:jc w:val="both"/>
      </w:pPr>
      <m:oMath>
        <m:r>
          <w:rPr>
            <w:rFonts w:ascii="Cambria Math" w:hAnsi="Cambria Math"/>
          </w:rPr>
          <w:lastRenderedPageBreak/>
          <m:t>II</m:t>
        </m:r>
      </m:oMath>
      <w:r>
        <w:t xml:space="preserve"> = total dos impostos indiretos (PIS/PASEP e </w:t>
      </w:r>
      <w:proofErr w:type="spellStart"/>
      <w:r>
        <w:t>Cofins</w:t>
      </w:r>
      <w:proofErr w:type="spellEnd"/>
      <w:r>
        <w:t>);</w:t>
      </w:r>
    </w:p>
    <w:p w:rsidR="00463F36" w:rsidRDefault="00463F36" w:rsidP="00DF3B9F">
      <w:pPr>
        <w:spacing w:line="360" w:lineRule="auto"/>
        <w:jc w:val="both"/>
      </w:pPr>
      <m:oMath>
        <m:r>
          <w:rPr>
            <w:rFonts w:ascii="Cambria Math" w:hAnsi="Cambria Math"/>
          </w:rPr>
          <m:t>OPEX</m:t>
        </m:r>
      </m:oMath>
      <w:r>
        <w:t xml:space="preserve"> = total das despesas e custos operacionais;</w:t>
      </w:r>
    </w:p>
    <w:p w:rsidR="00463F36" w:rsidRDefault="00463F36" w:rsidP="00DF3B9F">
      <w:pPr>
        <w:spacing w:line="360" w:lineRule="auto"/>
        <w:jc w:val="both"/>
      </w:pPr>
      <m:oMath>
        <m:r>
          <w:rPr>
            <w:rFonts w:ascii="Cambria Math" w:hAnsi="Cambria Math"/>
          </w:rPr>
          <m:t>CAPEX</m:t>
        </m:r>
      </m:oMath>
      <w:r>
        <w:t xml:space="preserve"> = total dos investimentos;</w:t>
      </w:r>
    </w:p>
    <w:p w:rsidR="00463F36" w:rsidRDefault="00463F36" w:rsidP="00DF3B9F">
      <w:pPr>
        <w:spacing w:line="360" w:lineRule="auto"/>
        <w:jc w:val="both"/>
      </w:pPr>
      <m:oMath>
        <m:r>
          <w:rPr>
            <w:rFonts w:ascii="Cambria Math" w:hAnsi="Cambria Math"/>
          </w:rPr>
          <m:t>IRCL</m:t>
        </m:r>
      </m:oMath>
      <w:r>
        <w:t xml:space="preserve"> = total dos impostos IR e CSLL;</w:t>
      </w:r>
    </w:p>
    <w:p w:rsidR="00463F36" w:rsidRDefault="00463F36" w:rsidP="00DF3B9F">
      <w:pPr>
        <w:spacing w:line="360" w:lineRule="auto"/>
        <w:jc w:val="both"/>
      </w:pPr>
      <m:oMath>
        <m:r>
          <w:rPr>
            <w:rFonts w:ascii="Cambria Math" w:hAnsi="Cambria Math"/>
          </w:rPr>
          <m:t>TREG</m:t>
        </m:r>
      </m:oMath>
      <w:r>
        <w:t xml:space="preserve"> = taxa de regulação;</w:t>
      </w:r>
    </w:p>
    <w:p w:rsidR="00463F36" w:rsidRDefault="00463F36" w:rsidP="00DF3B9F">
      <w:pPr>
        <w:spacing w:line="360" w:lineRule="auto"/>
        <w:jc w:val="both"/>
      </w:pPr>
      <m:oMath>
        <m:r>
          <w:rPr>
            <w:rFonts w:ascii="Cambria Math" w:hAnsi="Cambria Math"/>
          </w:rPr>
          <m:t>VFA</m:t>
        </m:r>
      </m:oMath>
      <w:r>
        <w:t xml:space="preserve"> = total do volume faturado de água;</w:t>
      </w:r>
    </w:p>
    <w:p w:rsidR="00463F36" w:rsidRDefault="00463F36" w:rsidP="00DF3B9F">
      <w:pPr>
        <w:spacing w:line="360" w:lineRule="auto"/>
        <w:jc w:val="both"/>
      </w:pPr>
      <m:oMath>
        <m:r>
          <w:rPr>
            <w:rFonts w:ascii="Cambria Math" w:hAnsi="Cambria Math"/>
          </w:rPr>
          <m:t>VFE</m:t>
        </m:r>
      </m:oMath>
      <w:r>
        <w:t xml:space="preserve"> = total do volume faturado de esgoto.</w:t>
      </w:r>
    </w:p>
    <w:p w:rsidR="00463F36" w:rsidRPr="00463F36" w:rsidRDefault="00463F36" w:rsidP="00DF3B9F">
      <w:pPr>
        <w:spacing w:line="360" w:lineRule="auto"/>
        <w:jc w:val="both"/>
      </w:pPr>
    </w:p>
    <w:p w:rsidR="00DF3B9F" w:rsidRDefault="00DF3B9F" w:rsidP="00DF3B9F">
      <w:pPr>
        <w:spacing w:line="360" w:lineRule="auto"/>
        <w:jc w:val="both"/>
      </w:pPr>
      <w:r>
        <w:t>Esta fórmula é consistente, por exemplo, com a que foi utilizada em outras experiências regulatórias</w:t>
      </w:r>
      <w:r w:rsidR="00463F36">
        <w:t xml:space="preserve">, por exemplo, </w:t>
      </w:r>
      <w:r>
        <w:t>pela ARSESP na revisão tarifária da SABESP, a saber:</w:t>
      </w:r>
    </w:p>
    <w:p w:rsidR="00DF3B9F" w:rsidRDefault="00DF3B9F" w:rsidP="00DF3B9F">
      <w:pPr>
        <w:spacing w:line="360" w:lineRule="auto"/>
        <w:jc w:val="both"/>
      </w:pPr>
    </w:p>
    <w:p w:rsidR="00DF3B9F" w:rsidRPr="00020B44" w:rsidRDefault="00E46B37" w:rsidP="00DF3B9F">
      <w:pPr>
        <w:spacing w:line="360" w:lineRule="auto"/>
        <w:jc w:val="both"/>
        <w:rPr>
          <w:sz w:val="26"/>
          <w:szCs w:val="26"/>
        </w:rPr>
      </w:pPr>
      <m:oMath>
        <m:sSub>
          <m:sSubPr>
            <m:ctrlPr>
              <w:rPr>
                <w:rFonts w:ascii="Cambria Math" w:hAnsi="Cambria Math"/>
                <w:i/>
                <w:sz w:val="26"/>
                <w:szCs w:val="26"/>
              </w:rPr>
            </m:ctrlPr>
          </m:sSubPr>
          <m:e>
            <m:r>
              <w:rPr>
                <w:rFonts w:ascii="Cambria Math" w:hAnsi="Cambria Math"/>
                <w:sz w:val="26"/>
                <w:szCs w:val="26"/>
              </w:rPr>
              <m:t>P</m:t>
            </m:r>
          </m:e>
          <m:sub>
            <m:r>
              <w:rPr>
                <w:rFonts w:ascii="Cambria Math" w:hAnsi="Cambria Math"/>
                <w:sz w:val="26"/>
                <w:szCs w:val="26"/>
              </w:rPr>
              <m:t>0</m:t>
            </m:r>
          </m:sub>
        </m:sSub>
        <m:r>
          <w:rPr>
            <w:rFonts w:ascii="Cambria Math" w:hAnsi="Cambria Math"/>
            <w:sz w:val="26"/>
            <w:szCs w:val="26"/>
          </w:rPr>
          <m:t xml:space="preserve">= </m:t>
        </m:r>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BRRL</m:t>
                </m:r>
              </m:e>
              <m:sub>
                <m:r>
                  <w:rPr>
                    <w:rFonts w:ascii="Cambria Math" w:hAnsi="Cambria Math"/>
                    <w:sz w:val="26"/>
                    <w:szCs w:val="26"/>
                  </w:rPr>
                  <m:t>0</m:t>
                </m:r>
              </m:sub>
            </m:sSub>
            <m:r>
              <w:rPr>
                <w:rFonts w:ascii="Cambria Math" w:hAnsi="Cambria Math"/>
                <w:sz w:val="26"/>
                <w:szCs w:val="26"/>
              </w:rPr>
              <m:t xml:space="preserve">- </m:t>
            </m:r>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BRRL</m:t>
                    </m:r>
                  </m:e>
                  <m:sub>
                    <m:r>
                      <w:rPr>
                        <w:rFonts w:ascii="Cambria Math" w:hAnsi="Cambria Math"/>
                        <w:sz w:val="26"/>
                        <w:szCs w:val="26"/>
                      </w:rPr>
                      <m:t>T</m:t>
                    </m:r>
                  </m:sub>
                </m:sSub>
              </m:num>
              <m:den>
                <m:sSup>
                  <m:sSupPr>
                    <m:ctrlPr>
                      <w:rPr>
                        <w:rFonts w:ascii="Cambria Math" w:hAnsi="Cambria Math"/>
                        <w:i/>
                        <w:sz w:val="26"/>
                        <w:szCs w:val="26"/>
                      </w:rPr>
                    </m:ctrlPr>
                  </m:sSupPr>
                  <m:e>
                    <m:d>
                      <m:dPr>
                        <m:ctrlPr>
                          <w:rPr>
                            <w:rFonts w:ascii="Cambria Math" w:hAnsi="Cambria Math"/>
                            <w:i/>
                            <w:sz w:val="26"/>
                            <w:szCs w:val="26"/>
                          </w:rPr>
                        </m:ctrlPr>
                      </m:dPr>
                      <m:e>
                        <m:r>
                          <w:rPr>
                            <w:rFonts w:ascii="Cambria Math" w:hAnsi="Cambria Math"/>
                            <w:sz w:val="26"/>
                            <w:szCs w:val="26"/>
                          </w:rPr>
                          <m:t>1+</m:t>
                        </m:r>
                        <m:sSub>
                          <m:sSubPr>
                            <m:ctrlPr>
                              <w:rPr>
                                <w:rFonts w:ascii="Cambria Math" w:hAnsi="Cambria Math"/>
                                <w:i/>
                                <w:sz w:val="26"/>
                                <w:szCs w:val="26"/>
                              </w:rPr>
                            </m:ctrlPr>
                          </m:sSubPr>
                          <m:e>
                            <m:r>
                              <w:rPr>
                                <w:rFonts w:ascii="Cambria Math" w:hAnsi="Cambria Math"/>
                                <w:sz w:val="26"/>
                                <w:szCs w:val="26"/>
                              </w:rPr>
                              <m:t>r</m:t>
                            </m:r>
                          </m:e>
                          <m:sub>
                            <m:r>
                              <w:rPr>
                                <w:rFonts w:ascii="Cambria Math" w:hAnsi="Cambria Math"/>
                                <w:sz w:val="26"/>
                                <w:szCs w:val="26"/>
                              </w:rPr>
                              <m:t>WACC</m:t>
                            </m:r>
                          </m:sub>
                        </m:sSub>
                      </m:e>
                    </m:d>
                  </m:e>
                  <m:sup>
                    <m:r>
                      <w:rPr>
                        <w:rFonts w:ascii="Cambria Math" w:hAnsi="Cambria Math"/>
                        <w:sz w:val="26"/>
                        <w:szCs w:val="26"/>
                      </w:rPr>
                      <m:t>T</m:t>
                    </m:r>
                  </m:sup>
                </m:sSup>
              </m:den>
            </m:f>
            <m:r>
              <w:rPr>
                <w:rFonts w:ascii="Cambria Math" w:hAnsi="Cambria Math"/>
                <w:sz w:val="26"/>
                <w:szCs w:val="26"/>
              </w:rPr>
              <m:t xml:space="preserve">+ </m:t>
            </m:r>
            <m:nary>
              <m:naryPr>
                <m:chr m:val="∑"/>
                <m:limLoc m:val="undOvr"/>
                <m:ctrlPr>
                  <w:rPr>
                    <w:rFonts w:ascii="Cambria Math" w:hAnsi="Cambria Math"/>
                    <w:i/>
                    <w:sz w:val="26"/>
                    <w:szCs w:val="26"/>
                  </w:rPr>
                </m:ctrlPr>
              </m:naryPr>
              <m:sub>
                <m:r>
                  <w:rPr>
                    <w:rFonts w:ascii="Cambria Math" w:hAnsi="Cambria Math"/>
                    <w:sz w:val="26"/>
                    <w:szCs w:val="26"/>
                  </w:rPr>
                  <m:t>t=1</m:t>
                </m:r>
              </m:sub>
              <m:sup>
                <m:r>
                  <w:rPr>
                    <w:rFonts w:ascii="Cambria Math" w:hAnsi="Cambria Math"/>
                    <w:sz w:val="26"/>
                    <w:szCs w:val="26"/>
                  </w:rPr>
                  <m:t>T</m:t>
                </m:r>
              </m:sup>
              <m:e>
                <m:f>
                  <m:fPr>
                    <m:ctrlPr>
                      <w:rPr>
                        <w:rFonts w:ascii="Cambria Math" w:hAnsi="Cambria Math"/>
                        <w:i/>
                        <w:sz w:val="26"/>
                        <w:szCs w:val="26"/>
                      </w:rPr>
                    </m:ctrlPr>
                  </m:fPr>
                  <m:num>
                    <m:d>
                      <m:dPr>
                        <m:ctrlPr>
                          <w:rPr>
                            <w:rFonts w:ascii="Cambria Math" w:hAnsi="Cambria Math"/>
                            <w:i/>
                            <w:sz w:val="26"/>
                            <w:szCs w:val="26"/>
                          </w:rPr>
                        </m:ctrlPr>
                      </m:dPr>
                      <m:e>
                        <m:r>
                          <w:rPr>
                            <w:rFonts w:ascii="Cambria Math" w:hAnsi="Cambria Math"/>
                            <w:sz w:val="26"/>
                            <w:szCs w:val="26"/>
                          </w:rPr>
                          <m:t>1-w</m:t>
                        </m:r>
                      </m:e>
                    </m:d>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OPEX</m:t>
                        </m:r>
                      </m:e>
                      <m:sub>
                        <m:r>
                          <w:rPr>
                            <w:rFonts w:ascii="Cambria Math" w:hAnsi="Cambria Math"/>
                            <w:sz w:val="26"/>
                            <w:szCs w:val="26"/>
                          </w:rPr>
                          <m:t>t</m:t>
                        </m:r>
                      </m:sub>
                    </m:sSub>
                    <m:r>
                      <w:rPr>
                        <w:rFonts w:ascii="Cambria Math" w:hAnsi="Cambria Math"/>
                        <w:sz w:val="26"/>
                        <w:szCs w:val="26"/>
                      </w:rPr>
                      <m:t xml:space="preserve"> -w.</m:t>
                    </m:r>
                    <m:sSubSup>
                      <m:sSubSupPr>
                        <m:ctrlPr>
                          <w:rPr>
                            <w:rFonts w:ascii="Cambria Math" w:hAnsi="Cambria Math"/>
                            <w:i/>
                            <w:sz w:val="26"/>
                            <w:szCs w:val="26"/>
                          </w:rPr>
                        </m:ctrlPr>
                      </m:sSubSupPr>
                      <m:e>
                        <m:r>
                          <w:rPr>
                            <w:rFonts w:ascii="Cambria Math" w:hAnsi="Cambria Math"/>
                            <w:sz w:val="26"/>
                            <w:szCs w:val="26"/>
                          </w:rPr>
                          <m:t>D</m:t>
                        </m:r>
                      </m:e>
                      <m:sub>
                        <m:r>
                          <w:rPr>
                            <w:rFonts w:ascii="Cambria Math" w:hAnsi="Cambria Math"/>
                            <w:sz w:val="26"/>
                            <w:szCs w:val="26"/>
                          </w:rPr>
                          <m:t>t</m:t>
                        </m:r>
                      </m:sub>
                      <m:sup>
                        <m:r>
                          <w:rPr>
                            <w:rFonts w:ascii="Cambria Math" w:hAnsi="Cambria Math"/>
                            <w:sz w:val="26"/>
                            <w:szCs w:val="26"/>
                          </w:rPr>
                          <m:t>C</m:t>
                        </m:r>
                      </m:sup>
                    </m:sSubSup>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CAPEX</m:t>
                        </m:r>
                      </m:e>
                      <m:sub>
                        <m:r>
                          <w:rPr>
                            <w:rFonts w:ascii="Cambria Math" w:hAnsi="Cambria Math"/>
                            <w:sz w:val="26"/>
                            <w:szCs w:val="26"/>
                          </w:rPr>
                          <m:t>t</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VarWK</m:t>
                        </m:r>
                      </m:e>
                      <m:sub>
                        <m:r>
                          <w:rPr>
                            <w:rFonts w:ascii="Cambria Math" w:hAnsi="Cambria Math"/>
                            <w:sz w:val="26"/>
                            <w:szCs w:val="26"/>
                          </w:rPr>
                          <m:t>t</m:t>
                        </m:r>
                      </m:sub>
                    </m:sSub>
                    <m:r>
                      <w:rPr>
                        <w:rFonts w:ascii="Cambria Math" w:hAnsi="Cambria Math"/>
                        <w:sz w:val="26"/>
                        <w:szCs w:val="26"/>
                      </w:rPr>
                      <m:t xml:space="preserve"> </m:t>
                    </m:r>
                  </m:num>
                  <m:den>
                    <m:sSup>
                      <m:sSupPr>
                        <m:ctrlPr>
                          <w:rPr>
                            <w:rFonts w:ascii="Cambria Math" w:hAnsi="Cambria Math"/>
                            <w:i/>
                            <w:sz w:val="26"/>
                            <w:szCs w:val="26"/>
                          </w:rPr>
                        </m:ctrlPr>
                      </m:sSupPr>
                      <m:e>
                        <m:d>
                          <m:dPr>
                            <m:ctrlPr>
                              <w:rPr>
                                <w:rFonts w:ascii="Cambria Math" w:hAnsi="Cambria Math"/>
                                <w:i/>
                                <w:sz w:val="26"/>
                                <w:szCs w:val="26"/>
                              </w:rPr>
                            </m:ctrlPr>
                          </m:dPr>
                          <m:e>
                            <m:r>
                              <w:rPr>
                                <w:rFonts w:ascii="Cambria Math" w:hAnsi="Cambria Math"/>
                                <w:sz w:val="26"/>
                                <w:szCs w:val="26"/>
                              </w:rPr>
                              <m:t>1+</m:t>
                            </m:r>
                            <m:sSub>
                              <m:sSubPr>
                                <m:ctrlPr>
                                  <w:rPr>
                                    <w:rFonts w:ascii="Cambria Math" w:hAnsi="Cambria Math"/>
                                    <w:i/>
                                    <w:sz w:val="26"/>
                                    <w:szCs w:val="26"/>
                                  </w:rPr>
                                </m:ctrlPr>
                              </m:sSubPr>
                              <m:e>
                                <m:r>
                                  <w:rPr>
                                    <w:rFonts w:ascii="Cambria Math" w:hAnsi="Cambria Math"/>
                                    <w:sz w:val="26"/>
                                    <w:szCs w:val="26"/>
                                  </w:rPr>
                                  <m:t>r</m:t>
                                </m:r>
                              </m:e>
                              <m:sub>
                                <m:r>
                                  <w:rPr>
                                    <w:rFonts w:ascii="Cambria Math" w:hAnsi="Cambria Math"/>
                                    <w:sz w:val="26"/>
                                    <w:szCs w:val="26"/>
                                  </w:rPr>
                                  <m:t>WACC</m:t>
                                </m:r>
                              </m:sub>
                            </m:sSub>
                          </m:e>
                        </m:d>
                      </m:e>
                      <m:sup>
                        <m:r>
                          <w:rPr>
                            <w:rFonts w:ascii="Cambria Math" w:hAnsi="Cambria Math"/>
                            <w:sz w:val="26"/>
                            <w:szCs w:val="26"/>
                          </w:rPr>
                          <m:t>T</m:t>
                        </m:r>
                      </m:sup>
                    </m:sSup>
                  </m:den>
                </m:f>
              </m:e>
            </m:nary>
          </m:num>
          <m:den>
            <m:nary>
              <m:naryPr>
                <m:chr m:val="∑"/>
                <m:limLoc m:val="undOvr"/>
                <m:ctrlPr>
                  <w:rPr>
                    <w:rFonts w:ascii="Cambria Math" w:hAnsi="Cambria Math"/>
                    <w:i/>
                    <w:sz w:val="26"/>
                    <w:szCs w:val="26"/>
                  </w:rPr>
                </m:ctrlPr>
              </m:naryPr>
              <m:sub>
                <m:r>
                  <w:rPr>
                    <w:rFonts w:ascii="Cambria Math" w:hAnsi="Cambria Math"/>
                    <w:sz w:val="26"/>
                    <w:szCs w:val="26"/>
                  </w:rPr>
                  <m:t>t=1</m:t>
                </m:r>
              </m:sub>
              <m:sup>
                <m:r>
                  <w:rPr>
                    <w:rFonts w:ascii="Cambria Math" w:hAnsi="Cambria Math"/>
                    <w:sz w:val="26"/>
                    <w:szCs w:val="26"/>
                  </w:rPr>
                  <m:t>T</m:t>
                </m:r>
              </m:sup>
              <m:e>
                <m:f>
                  <m:fPr>
                    <m:ctrlPr>
                      <w:rPr>
                        <w:rFonts w:ascii="Cambria Math" w:hAnsi="Cambria Math"/>
                        <w:i/>
                        <w:sz w:val="26"/>
                        <w:szCs w:val="26"/>
                      </w:rPr>
                    </m:ctrlPr>
                  </m:fPr>
                  <m:num>
                    <m:d>
                      <m:dPr>
                        <m:ctrlPr>
                          <w:rPr>
                            <w:rFonts w:ascii="Cambria Math" w:hAnsi="Cambria Math"/>
                            <w:i/>
                            <w:sz w:val="26"/>
                            <w:szCs w:val="26"/>
                          </w:rPr>
                        </m:ctrlPr>
                      </m:dPr>
                      <m:e>
                        <m:r>
                          <w:rPr>
                            <w:rFonts w:ascii="Cambria Math" w:hAnsi="Cambria Math"/>
                            <w:sz w:val="26"/>
                            <w:szCs w:val="26"/>
                          </w:rPr>
                          <m:t>1-w</m:t>
                        </m:r>
                      </m:e>
                    </m:d>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V</m:t>
                        </m:r>
                      </m:e>
                      <m:sub>
                        <m:r>
                          <w:rPr>
                            <w:rFonts w:ascii="Cambria Math" w:hAnsi="Cambria Math"/>
                            <w:sz w:val="26"/>
                            <w:szCs w:val="26"/>
                          </w:rPr>
                          <m:t>t</m:t>
                        </m:r>
                      </m:sub>
                    </m:sSub>
                  </m:num>
                  <m:den>
                    <m:sSup>
                      <m:sSupPr>
                        <m:ctrlPr>
                          <w:rPr>
                            <w:rFonts w:ascii="Cambria Math" w:hAnsi="Cambria Math"/>
                            <w:i/>
                            <w:sz w:val="26"/>
                            <w:szCs w:val="26"/>
                          </w:rPr>
                        </m:ctrlPr>
                      </m:sSupPr>
                      <m:e>
                        <m:d>
                          <m:dPr>
                            <m:ctrlPr>
                              <w:rPr>
                                <w:rFonts w:ascii="Cambria Math" w:hAnsi="Cambria Math"/>
                                <w:i/>
                                <w:sz w:val="26"/>
                                <w:szCs w:val="26"/>
                              </w:rPr>
                            </m:ctrlPr>
                          </m:dPr>
                          <m:e>
                            <m:r>
                              <w:rPr>
                                <w:rFonts w:ascii="Cambria Math" w:hAnsi="Cambria Math"/>
                                <w:sz w:val="26"/>
                                <w:szCs w:val="26"/>
                              </w:rPr>
                              <m:t>1+</m:t>
                            </m:r>
                            <m:sSub>
                              <m:sSubPr>
                                <m:ctrlPr>
                                  <w:rPr>
                                    <w:rFonts w:ascii="Cambria Math" w:hAnsi="Cambria Math"/>
                                    <w:i/>
                                    <w:sz w:val="26"/>
                                    <w:szCs w:val="26"/>
                                  </w:rPr>
                                </m:ctrlPr>
                              </m:sSubPr>
                              <m:e>
                                <m:r>
                                  <w:rPr>
                                    <w:rFonts w:ascii="Cambria Math" w:hAnsi="Cambria Math"/>
                                    <w:sz w:val="26"/>
                                    <w:szCs w:val="26"/>
                                  </w:rPr>
                                  <m:t>r</m:t>
                                </m:r>
                              </m:e>
                              <m:sub>
                                <m:r>
                                  <w:rPr>
                                    <w:rFonts w:ascii="Cambria Math" w:hAnsi="Cambria Math"/>
                                    <w:sz w:val="26"/>
                                    <w:szCs w:val="26"/>
                                  </w:rPr>
                                  <m:t>WACC</m:t>
                                </m:r>
                              </m:sub>
                            </m:sSub>
                          </m:e>
                        </m:d>
                      </m:e>
                      <m:sup>
                        <m:r>
                          <w:rPr>
                            <w:rFonts w:ascii="Cambria Math" w:hAnsi="Cambria Math"/>
                            <w:sz w:val="26"/>
                            <w:szCs w:val="26"/>
                          </w:rPr>
                          <m:t>T</m:t>
                        </m:r>
                      </m:sup>
                    </m:sSup>
                  </m:den>
                </m:f>
              </m:e>
            </m:nary>
          </m:den>
        </m:f>
      </m:oMath>
      <w:r w:rsidR="00DF3B9F" w:rsidRPr="00020B44">
        <w:rPr>
          <w:sz w:val="26"/>
          <w:szCs w:val="26"/>
        </w:rPr>
        <w:t xml:space="preserve"> </w:t>
      </w:r>
    </w:p>
    <w:p w:rsidR="002713BC" w:rsidRDefault="002713BC" w:rsidP="003B5F38">
      <w:pPr>
        <w:spacing w:line="360" w:lineRule="auto"/>
        <w:jc w:val="both"/>
      </w:pPr>
    </w:p>
    <w:p w:rsidR="00C606B4" w:rsidRDefault="00C606B4" w:rsidP="003B5F38">
      <w:pPr>
        <w:spacing w:line="360" w:lineRule="auto"/>
        <w:jc w:val="both"/>
      </w:pPr>
      <w:r>
        <w:t>Em que:</w:t>
      </w:r>
    </w:p>
    <w:p w:rsidR="00C606B4" w:rsidRDefault="00C606B4" w:rsidP="003B5F38">
      <w:pPr>
        <w:spacing w:line="360" w:lineRule="auto"/>
        <w:jc w:val="both"/>
      </w:pPr>
      <m:oMath>
        <m:r>
          <w:rPr>
            <w:rFonts w:ascii="Cambria Math" w:hAnsi="Cambria Math"/>
          </w:rPr>
          <m:t>PO</m:t>
        </m:r>
      </m:oMath>
      <w:r>
        <w:t xml:space="preserve"> = tarifa média máxima que assegura o equilíbrio econômico</w:t>
      </w:r>
      <w:r w:rsidR="00FE286C">
        <w:t>-</w:t>
      </w:r>
      <w:r>
        <w:t>financeiro da Sabesp;</w:t>
      </w:r>
    </w:p>
    <w:p w:rsidR="00C606B4" w:rsidRDefault="00E46B37" w:rsidP="003B5F38">
      <w:pPr>
        <w:spacing w:line="360" w:lineRule="auto"/>
        <w:jc w:val="both"/>
      </w:pPr>
      <m:oMath>
        <m:sSub>
          <m:sSubPr>
            <m:ctrlPr>
              <w:rPr>
                <w:rFonts w:ascii="Cambria Math" w:hAnsi="Cambria Math"/>
                <w:i/>
              </w:rPr>
            </m:ctrlPr>
          </m:sSubPr>
          <m:e>
            <m:r>
              <w:rPr>
                <w:rFonts w:ascii="Cambria Math" w:hAnsi="Cambria Math"/>
              </w:rPr>
              <m:t>BRRL</m:t>
            </m:r>
          </m:e>
          <m:sub>
            <m:r>
              <w:rPr>
                <w:rFonts w:ascii="Cambria Math" w:hAnsi="Cambria Math"/>
              </w:rPr>
              <m:t>0</m:t>
            </m:r>
          </m:sub>
        </m:sSub>
      </m:oMath>
      <w:r w:rsidR="00C606B4">
        <w:t xml:space="preserve"> = base de remuneração regulatória líquida (</w:t>
      </w:r>
      <w:r w:rsidR="00FE286C">
        <w:t xml:space="preserve">ou seja, </w:t>
      </w:r>
      <w:r w:rsidR="00C606B4">
        <w:t>líquida de depreciaç</w:t>
      </w:r>
      <w:r w:rsidR="00FE286C">
        <w:t>ões</w:t>
      </w:r>
      <w:r w:rsidR="00C606B4">
        <w:t xml:space="preserve">), </w:t>
      </w:r>
      <w:r w:rsidR="00FE286C">
        <w:t>a</w:t>
      </w:r>
      <w:r w:rsidR="00C606B4">
        <w:t xml:space="preserve">o início do ciclo, </w:t>
      </w:r>
      <w:r w:rsidR="00FE286C">
        <w:t xml:space="preserve">a ser </w:t>
      </w:r>
      <w:r w:rsidR="00C606B4">
        <w:t>fixada pelo estudo estabelecido pela Deliberação ARSESP 156/</w:t>
      </w:r>
      <w:r w:rsidR="00FE286C">
        <w:t>20</w:t>
      </w:r>
      <w:r w:rsidR="00C606B4">
        <w:t xml:space="preserve">10. </w:t>
      </w:r>
      <w:r w:rsidR="00FE286C">
        <w:t>A BRRL i</w:t>
      </w:r>
      <w:r w:rsidR="00C606B4">
        <w:t>nclui o estoque inicial de capital circulante.</w:t>
      </w:r>
    </w:p>
    <w:p w:rsidR="00C606B4" w:rsidRDefault="00E46B37" w:rsidP="003B5F38">
      <w:pPr>
        <w:spacing w:line="360" w:lineRule="auto"/>
        <w:jc w:val="both"/>
      </w:pPr>
      <m:oMath>
        <m:sSub>
          <m:sSubPr>
            <m:ctrlPr>
              <w:rPr>
                <w:rFonts w:ascii="Cambria Math" w:hAnsi="Cambria Math"/>
                <w:i/>
              </w:rPr>
            </m:ctrlPr>
          </m:sSubPr>
          <m:e>
            <m:r>
              <w:rPr>
                <w:rFonts w:ascii="Cambria Math" w:hAnsi="Cambria Math"/>
              </w:rPr>
              <m:t>BRRL</m:t>
            </m:r>
          </m:e>
          <m:sub>
            <m:r>
              <w:rPr>
                <w:rFonts w:ascii="Cambria Math" w:hAnsi="Cambria Math"/>
              </w:rPr>
              <m:t>T</m:t>
            </m:r>
          </m:sub>
        </m:sSub>
      </m:oMath>
      <w:r w:rsidR="00FE286C">
        <w:t xml:space="preserve"> </w:t>
      </w:r>
      <w:r w:rsidR="004C2036">
        <w:t xml:space="preserve"> </w:t>
      </w:r>
      <w:r w:rsidR="00FE286C">
        <w:t>= base de remuneração regulatória líquida (ou seja, líquida de depreciações), no final do ciclo tarifário.</w:t>
      </w:r>
    </w:p>
    <w:p w:rsidR="00FE286C" w:rsidRDefault="004C2036" w:rsidP="003B5F38">
      <w:pPr>
        <w:spacing w:line="360" w:lineRule="auto"/>
        <w:jc w:val="both"/>
      </w:pPr>
      <m:oMath>
        <m:r>
          <w:rPr>
            <w:rFonts w:ascii="Cambria Math" w:hAnsi="Cambria Math"/>
          </w:rPr>
          <m:t>T</m:t>
        </m:r>
      </m:oMath>
      <w:r>
        <w:t xml:space="preserve"> = duração em anos do ciclo tarifário;</w:t>
      </w:r>
    </w:p>
    <w:p w:rsidR="004C2036" w:rsidRDefault="00E46B37" w:rsidP="003B5F38">
      <w:pPr>
        <w:spacing w:line="360" w:lineRule="auto"/>
        <w:jc w:val="both"/>
      </w:pPr>
      <m:oMath>
        <m:sSub>
          <m:sSubPr>
            <m:ctrlPr>
              <w:rPr>
                <w:rFonts w:ascii="Cambria Math" w:hAnsi="Cambria Math"/>
                <w:i/>
              </w:rPr>
            </m:ctrlPr>
          </m:sSubPr>
          <m:e>
            <m:r>
              <w:rPr>
                <w:rFonts w:ascii="Cambria Math" w:hAnsi="Cambria Math"/>
              </w:rPr>
              <m:t>V</m:t>
            </m:r>
          </m:e>
          <m:sub>
            <m:r>
              <w:rPr>
                <w:rFonts w:ascii="Cambria Math" w:hAnsi="Cambria Math"/>
              </w:rPr>
              <m:t>t</m:t>
            </m:r>
          </m:sub>
        </m:sSub>
      </m:oMath>
      <w:r w:rsidR="004C2036">
        <w:t xml:space="preserve"> = volume faturável total para o ano t (corresponde à soma do volume de água e volume de esgoto). Estão incluídos os efeitos da cobrança do consumo mínimo existente na estrutura tarifária atual.</w:t>
      </w:r>
    </w:p>
    <w:p w:rsidR="004C2036" w:rsidRDefault="00E46B37" w:rsidP="003B5F38">
      <w:pPr>
        <w:spacing w:line="360" w:lineRule="auto"/>
        <w:jc w:val="both"/>
      </w:pPr>
      <m:oMath>
        <m:sSub>
          <m:sSubPr>
            <m:ctrlPr>
              <w:rPr>
                <w:rFonts w:ascii="Cambria Math" w:hAnsi="Cambria Math"/>
                <w:i/>
              </w:rPr>
            </m:ctrlPr>
          </m:sSubPr>
          <m:e>
            <m:r>
              <w:rPr>
                <w:rFonts w:ascii="Cambria Math" w:hAnsi="Cambria Math"/>
              </w:rPr>
              <m:t>OPEX</m:t>
            </m:r>
          </m:e>
          <m:sub>
            <m:r>
              <w:rPr>
                <w:rFonts w:ascii="Cambria Math" w:hAnsi="Cambria Math"/>
              </w:rPr>
              <m:t>t</m:t>
            </m:r>
          </m:sub>
        </m:sSub>
      </m:oMath>
      <w:r w:rsidR="004C2036">
        <w:t xml:space="preserve"> = custos operativos, administração e comercialização no ano t.</w:t>
      </w:r>
    </w:p>
    <w:p w:rsidR="004C2036" w:rsidRDefault="00E46B37" w:rsidP="003B5F38">
      <w:pPr>
        <w:spacing w:line="360" w:lineRule="auto"/>
        <w:jc w:val="both"/>
      </w:pPr>
      <m:oMath>
        <m:sSub>
          <m:sSubPr>
            <m:ctrlPr>
              <w:rPr>
                <w:rFonts w:ascii="Cambria Math" w:hAnsi="Cambria Math"/>
                <w:i/>
              </w:rPr>
            </m:ctrlPr>
          </m:sSubPr>
          <m:e>
            <m:r>
              <w:rPr>
                <w:rFonts w:ascii="Cambria Math" w:hAnsi="Cambria Math"/>
              </w:rPr>
              <m:t>CAPEX</m:t>
            </m:r>
          </m:e>
          <m:sub>
            <m:r>
              <w:rPr>
                <w:rFonts w:ascii="Cambria Math" w:hAnsi="Cambria Math"/>
              </w:rPr>
              <m:t>t</m:t>
            </m:r>
          </m:sub>
        </m:sSub>
      </m:oMath>
      <w:r w:rsidR="004C2036">
        <w:t xml:space="preserve"> = investimento incorporado à operação no ano t.</w:t>
      </w:r>
    </w:p>
    <w:p w:rsidR="004C2036" w:rsidRDefault="00E46B37" w:rsidP="003B5F38">
      <w:pPr>
        <w:spacing w:line="360" w:lineRule="auto"/>
        <w:jc w:val="both"/>
      </w:pPr>
      <m:oMath>
        <m:sSub>
          <m:sSubPr>
            <m:ctrlPr>
              <w:rPr>
                <w:rFonts w:ascii="Cambria Math" w:hAnsi="Cambria Math"/>
                <w:i/>
              </w:rPr>
            </m:ctrlPr>
          </m:sSubPr>
          <m:e>
            <m:r>
              <w:rPr>
                <w:rFonts w:ascii="Cambria Math" w:hAnsi="Cambria Math"/>
              </w:rPr>
              <m:t>VarWK</m:t>
            </m:r>
          </m:e>
          <m:sub>
            <m:r>
              <w:rPr>
                <w:rFonts w:ascii="Cambria Math" w:hAnsi="Cambria Math"/>
              </w:rPr>
              <m:t>t</m:t>
            </m:r>
          </m:sub>
        </m:sSub>
      </m:oMath>
      <w:r w:rsidR="004C2036">
        <w:t xml:space="preserve"> = variação do capital circulante remunerável (CCR) no ano t.</w:t>
      </w:r>
    </w:p>
    <w:p w:rsidR="004C2036" w:rsidRDefault="004C2036" w:rsidP="003B5F38">
      <w:pPr>
        <w:spacing w:line="360" w:lineRule="auto"/>
        <w:jc w:val="both"/>
      </w:pPr>
      <m:oMath>
        <m:r>
          <w:rPr>
            <w:rFonts w:ascii="Cambria Math" w:hAnsi="Cambria Math"/>
          </w:rPr>
          <m:t>w</m:t>
        </m:r>
      </m:oMath>
      <w:r>
        <w:t xml:space="preserve"> = alíquota do imposto de renda e contribuição social sobre o lucro líquido (CSLL).</w:t>
      </w:r>
    </w:p>
    <w:p w:rsidR="004C2036" w:rsidRDefault="00E46B37" w:rsidP="003B5F38">
      <w:pPr>
        <w:spacing w:line="360" w:lineRule="auto"/>
        <w:jc w:val="both"/>
      </w:pPr>
      <m:oMath>
        <m:sSub>
          <m:sSubPr>
            <m:ctrlPr>
              <w:rPr>
                <w:rFonts w:ascii="Cambria Math" w:hAnsi="Cambria Math"/>
                <w:i/>
              </w:rPr>
            </m:ctrlPr>
          </m:sSubPr>
          <m:e>
            <m:r>
              <w:rPr>
                <w:rFonts w:ascii="Cambria Math" w:hAnsi="Cambria Math"/>
              </w:rPr>
              <m:t>r</m:t>
            </m:r>
          </m:e>
          <m:sub>
            <m:r>
              <w:rPr>
                <w:rFonts w:ascii="Cambria Math" w:hAnsi="Cambria Math"/>
              </w:rPr>
              <m:t>wacc</m:t>
            </m:r>
          </m:sub>
        </m:sSub>
      </m:oMath>
      <w:r w:rsidR="004C2036">
        <w:t xml:space="preserve"> = custo de capital determinado de acordo com a Deliberação ARSESP nº 227/2011;</w:t>
      </w:r>
    </w:p>
    <w:p w:rsidR="004C2036" w:rsidRDefault="00E46B37" w:rsidP="003B5F38">
      <w:pPr>
        <w:spacing w:line="360" w:lineRule="auto"/>
        <w:jc w:val="both"/>
      </w:pPr>
      <m:oMath>
        <m:sSubSup>
          <m:sSubSupPr>
            <m:ctrlPr>
              <w:rPr>
                <w:rFonts w:ascii="Cambria Math" w:hAnsi="Cambria Math"/>
                <w:i/>
              </w:rPr>
            </m:ctrlPr>
          </m:sSubSupPr>
          <m:e>
            <m:r>
              <w:rPr>
                <w:rFonts w:ascii="Cambria Math" w:hAnsi="Cambria Math"/>
              </w:rPr>
              <m:t>D</m:t>
            </m:r>
          </m:e>
          <m:sub>
            <m:r>
              <w:rPr>
                <w:rFonts w:ascii="Cambria Math" w:hAnsi="Cambria Math"/>
              </w:rPr>
              <m:t>t</m:t>
            </m:r>
          </m:sub>
          <m:sup>
            <m:r>
              <w:rPr>
                <w:rFonts w:ascii="Cambria Math" w:hAnsi="Cambria Math"/>
              </w:rPr>
              <m:t>C</m:t>
            </m:r>
          </m:sup>
        </m:sSubSup>
      </m:oMath>
      <w:r w:rsidR="004C2036">
        <w:t xml:space="preserve"> = depreciações contábeis.</w:t>
      </w:r>
    </w:p>
    <w:p w:rsidR="004C2036" w:rsidRDefault="004C2036" w:rsidP="003B5F38">
      <w:pPr>
        <w:spacing w:line="360" w:lineRule="auto"/>
        <w:jc w:val="both"/>
      </w:pPr>
      <w:r>
        <w:t xml:space="preserve">Fonte: Nota </w:t>
      </w:r>
      <w:proofErr w:type="spellStart"/>
      <w:r>
        <w:t>Ténica</w:t>
      </w:r>
      <w:proofErr w:type="spellEnd"/>
      <w:r>
        <w:t xml:space="preserve"> nº RTS 01/2013 – Revisão Tarifária da Sabesp, primeira etapa do segundo ciclo tarifário – Cálculo do P</w:t>
      </w:r>
      <w:r w:rsidRPr="004C2036">
        <w:rPr>
          <w:vertAlign w:val="subscript"/>
        </w:rPr>
        <w:t>0</w:t>
      </w:r>
      <w:r>
        <w:t xml:space="preserve"> e Fator X.</w:t>
      </w:r>
    </w:p>
    <w:p w:rsidR="00B20A37" w:rsidRPr="00C606B4" w:rsidRDefault="00B20A37" w:rsidP="003B5F38">
      <w:pPr>
        <w:spacing w:line="360" w:lineRule="auto"/>
        <w:jc w:val="both"/>
      </w:pPr>
    </w:p>
    <w:p w:rsidR="003B5F38" w:rsidRDefault="00532A60" w:rsidP="003B5F38">
      <w:pPr>
        <w:spacing w:line="360" w:lineRule="auto"/>
        <w:jc w:val="both"/>
      </w:pPr>
      <w:r>
        <w:t xml:space="preserve">A aplicação da </w:t>
      </w:r>
      <w:r w:rsidR="00B20A37">
        <w:t>fórmula está detalhada a seguir:</w:t>
      </w:r>
    </w:p>
    <w:p w:rsidR="00532A60" w:rsidRDefault="00532A60" w:rsidP="003B5F38">
      <w:pPr>
        <w:spacing w:line="360" w:lineRule="auto"/>
        <w:jc w:val="both"/>
      </w:pPr>
    </w:p>
    <w:tbl>
      <w:tblPr>
        <w:tblW w:w="6299" w:type="dxa"/>
        <w:tblCellMar>
          <w:left w:w="70" w:type="dxa"/>
          <w:right w:w="70" w:type="dxa"/>
        </w:tblCellMar>
        <w:tblLook w:val="04A0"/>
      </w:tblPr>
      <w:tblGrid>
        <w:gridCol w:w="3996"/>
        <w:gridCol w:w="2303"/>
      </w:tblGrid>
      <w:tr w:rsidR="00532A60" w:rsidRPr="00532A60" w:rsidTr="00532A60">
        <w:trPr>
          <w:trHeight w:val="300"/>
        </w:trPr>
        <w:tc>
          <w:tcPr>
            <w:tcW w:w="3996" w:type="dxa"/>
            <w:tcBorders>
              <w:top w:val="nil"/>
              <w:left w:val="nil"/>
              <w:bottom w:val="nil"/>
              <w:right w:val="nil"/>
            </w:tcBorders>
            <w:shd w:val="clear" w:color="auto" w:fill="auto"/>
            <w:noWrap/>
            <w:vAlign w:val="bottom"/>
            <w:hideMark/>
          </w:tcPr>
          <w:p w:rsidR="00532A60" w:rsidRPr="00532A60" w:rsidRDefault="00532A60" w:rsidP="00532A60">
            <w:pPr>
              <w:spacing w:after="0" w:line="240" w:lineRule="auto"/>
              <w:rPr>
                <w:rFonts w:eastAsia="Times New Roman"/>
                <w:color w:val="000000"/>
                <w:lang w:eastAsia="pt-BR"/>
              </w:rPr>
            </w:pPr>
            <w:r w:rsidRPr="00532A60">
              <w:rPr>
                <w:rFonts w:eastAsia="Times New Roman"/>
                <w:color w:val="000000"/>
                <w:lang w:eastAsia="pt-BR"/>
              </w:rPr>
              <w:t>MEMÓRIA DE CÁLCULO DA TARIFA</w:t>
            </w:r>
          </w:p>
        </w:tc>
        <w:tc>
          <w:tcPr>
            <w:tcW w:w="2303" w:type="dxa"/>
            <w:tcBorders>
              <w:top w:val="nil"/>
              <w:left w:val="nil"/>
              <w:bottom w:val="nil"/>
              <w:right w:val="nil"/>
            </w:tcBorders>
            <w:shd w:val="clear" w:color="auto" w:fill="auto"/>
            <w:noWrap/>
            <w:vAlign w:val="bottom"/>
            <w:hideMark/>
          </w:tcPr>
          <w:p w:rsidR="00532A60" w:rsidRPr="00532A60" w:rsidRDefault="00532A60" w:rsidP="00532A60">
            <w:pPr>
              <w:spacing w:after="0" w:line="240" w:lineRule="auto"/>
              <w:rPr>
                <w:rFonts w:eastAsia="Times New Roman"/>
                <w:color w:val="000000"/>
                <w:lang w:eastAsia="pt-BR"/>
              </w:rPr>
            </w:pPr>
          </w:p>
        </w:tc>
      </w:tr>
      <w:tr w:rsidR="00532A60" w:rsidRPr="00532A60" w:rsidTr="00532A60">
        <w:trPr>
          <w:trHeight w:val="300"/>
        </w:trPr>
        <w:tc>
          <w:tcPr>
            <w:tcW w:w="3996" w:type="dxa"/>
            <w:tcBorders>
              <w:top w:val="nil"/>
              <w:left w:val="nil"/>
              <w:bottom w:val="nil"/>
              <w:right w:val="nil"/>
            </w:tcBorders>
            <w:shd w:val="clear" w:color="auto" w:fill="auto"/>
            <w:noWrap/>
            <w:vAlign w:val="bottom"/>
            <w:hideMark/>
          </w:tcPr>
          <w:p w:rsidR="00532A60" w:rsidRPr="00532A60" w:rsidRDefault="00532A60" w:rsidP="00532A60">
            <w:pPr>
              <w:spacing w:after="0" w:line="240" w:lineRule="auto"/>
              <w:rPr>
                <w:rFonts w:ascii="Times New Roman" w:eastAsia="Times New Roman" w:hAnsi="Times New Roman"/>
                <w:sz w:val="20"/>
                <w:szCs w:val="20"/>
                <w:lang w:eastAsia="pt-BR"/>
              </w:rPr>
            </w:pPr>
          </w:p>
        </w:tc>
        <w:tc>
          <w:tcPr>
            <w:tcW w:w="2303" w:type="dxa"/>
            <w:tcBorders>
              <w:top w:val="nil"/>
              <w:left w:val="nil"/>
              <w:bottom w:val="nil"/>
              <w:right w:val="nil"/>
            </w:tcBorders>
            <w:shd w:val="clear" w:color="auto" w:fill="auto"/>
            <w:noWrap/>
            <w:vAlign w:val="bottom"/>
            <w:hideMark/>
          </w:tcPr>
          <w:p w:rsidR="00532A60" w:rsidRPr="00532A60" w:rsidRDefault="00532A60" w:rsidP="00532A60">
            <w:pPr>
              <w:spacing w:after="0" w:line="240" w:lineRule="auto"/>
              <w:rPr>
                <w:rFonts w:ascii="Times New Roman" w:eastAsia="Times New Roman" w:hAnsi="Times New Roman"/>
                <w:sz w:val="20"/>
                <w:szCs w:val="20"/>
                <w:lang w:eastAsia="pt-BR"/>
              </w:rPr>
            </w:pPr>
          </w:p>
        </w:tc>
      </w:tr>
      <w:tr w:rsidR="00532A60" w:rsidRPr="00532A60" w:rsidTr="00532A60">
        <w:trPr>
          <w:trHeight w:val="300"/>
        </w:trPr>
        <w:tc>
          <w:tcPr>
            <w:tcW w:w="3996" w:type="dxa"/>
            <w:tcBorders>
              <w:top w:val="single" w:sz="4" w:space="0" w:color="auto"/>
              <w:left w:val="nil"/>
              <w:bottom w:val="nil"/>
              <w:right w:val="nil"/>
            </w:tcBorders>
            <w:shd w:val="clear" w:color="auto" w:fill="auto"/>
            <w:noWrap/>
            <w:vAlign w:val="bottom"/>
            <w:hideMark/>
          </w:tcPr>
          <w:p w:rsidR="00532A60" w:rsidRPr="00532A60" w:rsidRDefault="00532A60" w:rsidP="00532A60">
            <w:pPr>
              <w:spacing w:after="0" w:line="240" w:lineRule="auto"/>
              <w:rPr>
                <w:rFonts w:eastAsia="Times New Roman"/>
                <w:color w:val="000000"/>
                <w:lang w:eastAsia="pt-BR"/>
              </w:rPr>
            </w:pPr>
            <w:r w:rsidRPr="00532A60">
              <w:rPr>
                <w:rFonts w:eastAsia="Times New Roman"/>
                <w:color w:val="000000"/>
                <w:lang w:eastAsia="pt-BR"/>
              </w:rPr>
              <w:t>BAI</w:t>
            </w:r>
          </w:p>
        </w:tc>
        <w:tc>
          <w:tcPr>
            <w:tcW w:w="2303" w:type="dxa"/>
            <w:tcBorders>
              <w:top w:val="single" w:sz="4" w:space="0" w:color="auto"/>
              <w:left w:val="nil"/>
              <w:bottom w:val="nil"/>
              <w:right w:val="nil"/>
            </w:tcBorders>
            <w:shd w:val="clear" w:color="auto" w:fill="auto"/>
            <w:noWrap/>
            <w:vAlign w:val="bottom"/>
            <w:hideMark/>
          </w:tcPr>
          <w:p w:rsidR="00532A60" w:rsidRPr="0081022E" w:rsidRDefault="00532A60" w:rsidP="002B1810">
            <w:pPr>
              <w:spacing w:after="0" w:line="240" w:lineRule="auto"/>
              <w:jc w:val="right"/>
              <w:rPr>
                <w:rFonts w:eastAsia="Times New Roman"/>
                <w:b/>
                <w:bCs/>
                <w:color w:val="000000"/>
                <w:lang w:eastAsia="pt-BR"/>
              </w:rPr>
            </w:pPr>
            <w:r w:rsidRPr="0081022E">
              <w:rPr>
                <w:rFonts w:eastAsia="Times New Roman"/>
                <w:b/>
                <w:bCs/>
                <w:color w:val="000000"/>
                <w:lang w:eastAsia="pt-BR"/>
              </w:rPr>
              <w:t xml:space="preserve">                 </w:t>
            </w:r>
            <w:r w:rsidR="00F6498B" w:rsidRPr="0081022E">
              <w:rPr>
                <w:rFonts w:eastAsia="Times New Roman"/>
                <w:b/>
                <w:bCs/>
                <w:color w:val="000000"/>
                <w:lang w:eastAsia="pt-BR"/>
              </w:rPr>
              <w:t>4</w:t>
            </w:r>
            <w:r w:rsidR="005B6C1A">
              <w:rPr>
                <w:rFonts w:eastAsia="Times New Roman"/>
                <w:b/>
                <w:bCs/>
                <w:color w:val="000000"/>
                <w:lang w:eastAsia="pt-BR"/>
              </w:rPr>
              <w:t>62</w:t>
            </w:r>
            <w:r w:rsidRPr="0081022E">
              <w:rPr>
                <w:rFonts w:eastAsia="Times New Roman"/>
                <w:b/>
                <w:bCs/>
                <w:color w:val="000000"/>
                <w:lang w:eastAsia="pt-BR"/>
              </w:rPr>
              <w:t>.</w:t>
            </w:r>
            <w:r w:rsidR="00F6498B" w:rsidRPr="0081022E">
              <w:rPr>
                <w:rFonts w:eastAsia="Times New Roman"/>
                <w:b/>
                <w:bCs/>
                <w:color w:val="000000"/>
                <w:lang w:eastAsia="pt-BR"/>
              </w:rPr>
              <w:t>6</w:t>
            </w:r>
            <w:r w:rsidR="005B6C1A">
              <w:rPr>
                <w:rFonts w:eastAsia="Times New Roman"/>
                <w:b/>
                <w:bCs/>
                <w:color w:val="000000"/>
                <w:lang w:eastAsia="pt-BR"/>
              </w:rPr>
              <w:t>18</w:t>
            </w:r>
            <w:r w:rsidRPr="0081022E">
              <w:rPr>
                <w:rFonts w:eastAsia="Times New Roman"/>
                <w:b/>
                <w:bCs/>
                <w:color w:val="000000"/>
                <w:lang w:eastAsia="pt-BR"/>
              </w:rPr>
              <w:t>.</w:t>
            </w:r>
            <w:r w:rsidR="005B6C1A">
              <w:rPr>
                <w:rFonts w:eastAsia="Times New Roman"/>
                <w:b/>
                <w:bCs/>
                <w:color w:val="000000"/>
                <w:lang w:eastAsia="pt-BR"/>
              </w:rPr>
              <w:t>233</w:t>
            </w:r>
            <w:r w:rsidRPr="0081022E">
              <w:rPr>
                <w:rFonts w:eastAsia="Times New Roman"/>
                <w:b/>
                <w:bCs/>
                <w:color w:val="000000"/>
                <w:lang w:eastAsia="pt-BR"/>
              </w:rPr>
              <w:t>,</w:t>
            </w:r>
            <w:r w:rsidR="005B6C1A">
              <w:rPr>
                <w:rFonts w:eastAsia="Times New Roman"/>
                <w:b/>
                <w:bCs/>
                <w:color w:val="000000"/>
                <w:lang w:eastAsia="pt-BR"/>
              </w:rPr>
              <w:t>05</w:t>
            </w:r>
            <w:r w:rsidRPr="0081022E">
              <w:rPr>
                <w:rFonts w:eastAsia="Times New Roman"/>
                <w:b/>
                <w:bCs/>
                <w:color w:val="000000"/>
                <w:lang w:eastAsia="pt-BR"/>
              </w:rPr>
              <w:t xml:space="preserve"> </w:t>
            </w:r>
          </w:p>
        </w:tc>
      </w:tr>
      <w:tr w:rsidR="00532A60" w:rsidRPr="00532A60" w:rsidTr="00273856">
        <w:trPr>
          <w:trHeight w:val="300"/>
        </w:trPr>
        <w:tc>
          <w:tcPr>
            <w:tcW w:w="3996" w:type="dxa"/>
            <w:tcBorders>
              <w:top w:val="nil"/>
              <w:left w:val="nil"/>
              <w:bottom w:val="nil"/>
              <w:right w:val="nil"/>
            </w:tcBorders>
            <w:shd w:val="clear" w:color="auto" w:fill="auto"/>
            <w:noWrap/>
            <w:vAlign w:val="bottom"/>
            <w:hideMark/>
          </w:tcPr>
          <w:p w:rsidR="00532A60" w:rsidRPr="00532A60" w:rsidRDefault="00532A60" w:rsidP="00532A60">
            <w:pPr>
              <w:spacing w:after="0" w:line="240" w:lineRule="auto"/>
              <w:rPr>
                <w:rFonts w:eastAsia="Times New Roman"/>
                <w:color w:val="000000"/>
                <w:lang w:eastAsia="pt-BR"/>
              </w:rPr>
            </w:pPr>
            <w:r w:rsidRPr="00532A60">
              <w:rPr>
                <w:rFonts w:eastAsia="Times New Roman"/>
                <w:color w:val="000000"/>
                <w:lang w:eastAsia="pt-BR"/>
              </w:rPr>
              <w:t>-BAF</w:t>
            </w:r>
          </w:p>
        </w:tc>
        <w:tc>
          <w:tcPr>
            <w:tcW w:w="2303" w:type="dxa"/>
            <w:tcBorders>
              <w:top w:val="nil"/>
              <w:left w:val="nil"/>
              <w:bottom w:val="nil"/>
              <w:right w:val="nil"/>
            </w:tcBorders>
            <w:shd w:val="clear" w:color="auto" w:fill="auto"/>
            <w:noWrap/>
            <w:vAlign w:val="bottom"/>
            <w:hideMark/>
          </w:tcPr>
          <w:p w:rsidR="00532A60" w:rsidRPr="00273856" w:rsidRDefault="00532A60" w:rsidP="002B1810">
            <w:pPr>
              <w:spacing w:after="0" w:line="240" w:lineRule="auto"/>
              <w:jc w:val="right"/>
              <w:rPr>
                <w:rFonts w:eastAsia="Times New Roman"/>
                <w:b/>
                <w:bCs/>
                <w:color w:val="000000"/>
                <w:lang w:eastAsia="pt-BR"/>
              </w:rPr>
            </w:pPr>
            <w:r w:rsidRPr="00273856">
              <w:rPr>
                <w:rFonts w:eastAsia="Times New Roman"/>
                <w:b/>
                <w:bCs/>
                <w:color w:val="000000"/>
                <w:lang w:eastAsia="pt-BR"/>
              </w:rPr>
              <w:t xml:space="preserve">                 </w:t>
            </w:r>
            <w:r w:rsidR="00697F81" w:rsidRPr="00273856">
              <w:rPr>
                <w:rFonts w:eastAsia="Times New Roman"/>
                <w:b/>
                <w:bCs/>
                <w:color w:val="000000"/>
                <w:lang w:eastAsia="pt-BR"/>
              </w:rPr>
              <w:t>6</w:t>
            </w:r>
            <w:r w:rsidR="0073075E">
              <w:rPr>
                <w:rFonts w:eastAsia="Times New Roman"/>
                <w:b/>
                <w:bCs/>
                <w:color w:val="000000"/>
                <w:lang w:eastAsia="pt-BR"/>
              </w:rPr>
              <w:t>6</w:t>
            </w:r>
            <w:r w:rsidR="005B6C1A">
              <w:rPr>
                <w:rFonts w:eastAsia="Times New Roman"/>
                <w:b/>
                <w:bCs/>
                <w:color w:val="000000"/>
                <w:lang w:eastAsia="pt-BR"/>
              </w:rPr>
              <w:t>6</w:t>
            </w:r>
            <w:r w:rsidRPr="00273856">
              <w:rPr>
                <w:rFonts w:eastAsia="Times New Roman"/>
                <w:b/>
                <w:bCs/>
                <w:color w:val="000000"/>
                <w:lang w:eastAsia="pt-BR"/>
              </w:rPr>
              <w:t>.</w:t>
            </w:r>
            <w:r w:rsidR="005B6C1A">
              <w:rPr>
                <w:rFonts w:eastAsia="Times New Roman"/>
                <w:b/>
                <w:bCs/>
                <w:color w:val="000000"/>
                <w:lang w:eastAsia="pt-BR"/>
              </w:rPr>
              <w:t>122</w:t>
            </w:r>
            <w:r w:rsidRPr="00273856">
              <w:rPr>
                <w:rFonts w:eastAsia="Times New Roman"/>
                <w:b/>
                <w:bCs/>
                <w:color w:val="000000"/>
                <w:lang w:eastAsia="pt-BR"/>
              </w:rPr>
              <w:t>.</w:t>
            </w:r>
            <w:r w:rsidR="005B6C1A">
              <w:rPr>
                <w:rFonts w:eastAsia="Times New Roman"/>
                <w:b/>
                <w:bCs/>
                <w:color w:val="000000"/>
                <w:lang w:eastAsia="pt-BR"/>
              </w:rPr>
              <w:t>202</w:t>
            </w:r>
            <w:r w:rsidRPr="00273856">
              <w:rPr>
                <w:rFonts w:eastAsia="Times New Roman"/>
                <w:b/>
                <w:bCs/>
                <w:color w:val="000000"/>
                <w:lang w:eastAsia="pt-BR"/>
              </w:rPr>
              <w:t>,</w:t>
            </w:r>
            <w:r w:rsidR="00E97C86">
              <w:rPr>
                <w:rFonts w:eastAsia="Times New Roman"/>
                <w:b/>
                <w:bCs/>
                <w:color w:val="000000"/>
                <w:lang w:eastAsia="pt-BR"/>
              </w:rPr>
              <w:t>6</w:t>
            </w:r>
            <w:r w:rsidR="005B6C1A">
              <w:rPr>
                <w:rFonts w:eastAsia="Times New Roman"/>
                <w:b/>
                <w:bCs/>
                <w:color w:val="000000"/>
                <w:lang w:eastAsia="pt-BR"/>
              </w:rPr>
              <w:t>8</w:t>
            </w:r>
            <w:r w:rsidRPr="00273856">
              <w:rPr>
                <w:rFonts w:eastAsia="Times New Roman"/>
                <w:b/>
                <w:bCs/>
                <w:color w:val="000000"/>
                <w:lang w:eastAsia="pt-BR"/>
              </w:rPr>
              <w:t xml:space="preserve"> </w:t>
            </w:r>
          </w:p>
        </w:tc>
      </w:tr>
      <w:tr w:rsidR="00532A60" w:rsidRPr="00532A60" w:rsidTr="00532A60">
        <w:trPr>
          <w:trHeight w:val="300"/>
        </w:trPr>
        <w:tc>
          <w:tcPr>
            <w:tcW w:w="3996" w:type="dxa"/>
            <w:tcBorders>
              <w:top w:val="nil"/>
              <w:left w:val="nil"/>
              <w:bottom w:val="nil"/>
              <w:right w:val="nil"/>
            </w:tcBorders>
            <w:shd w:val="clear" w:color="auto" w:fill="auto"/>
            <w:noWrap/>
            <w:vAlign w:val="bottom"/>
            <w:hideMark/>
          </w:tcPr>
          <w:p w:rsidR="00532A60" w:rsidRPr="00532A60" w:rsidRDefault="00532A60" w:rsidP="00532A60">
            <w:pPr>
              <w:spacing w:after="0" w:line="240" w:lineRule="auto"/>
              <w:rPr>
                <w:rFonts w:eastAsia="Times New Roman"/>
                <w:color w:val="000000"/>
                <w:lang w:eastAsia="pt-BR"/>
              </w:rPr>
            </w:pPr>
            <w:r w:rsidRPr="00532A60">
              <w:rPr>
                <w:rFonts w:eastAsia="Times New Roman"/>
                <w:color w:val="000000"/>
                <w:lang w:eastAsia="pt-BR"/>
              </w:rPr>
              <w:t>-RIN</w:t>
            </w:r>
          </w:p>
        </w:tc>
        <w:tc>
          <w:tcPr>
            <w:tcW w:w="2303" w:type="dxa"/>
            <w:tcBorders>
              <w:top w:val="nil"/>
              <w:left w:val="nil"/>
              <w:bottom w:val="nil"/>
              <w:right w:val="nil"/>
            </w:tcBorders>
            <w:shd w:val="clear" w:color="auto" w:fill="auto"/>
            <w:noWrap/>
            <w:vAlign w:val="bottom"/>
            <w:hideMark/>
          </w:tcPr>
          <w:p w:rsidR="00532A60" w:rsidRPr="0081022E" w:rsidRDefault="00532A60" w:rsidP="002B1810">
            <w:pPr>
              <w:spacing w:after="0" w:line="240" w:lineRule="auto"/>
              <w:jc w:val="right"/>
              <w:rPr>
                <w:rFonts w:eastAsia="Times New Roman"/>
                <w:b/>
                <w:bCs/>
                <w:color w:val="000000"/>
                <w:lang w:eastAsia="pt-BR"/>
              </w:rPr>
            </w:pPr>
            <w:r w:rsidRPr="0081022E">
              <w:rPr>
                <w:rFonts w:eastAsia="Times New Roman"/>
                <w:b/>
                <w:bCs/>
                <w:color w:val="000000"/>
                <w:lang w:eastAsia="pt-BR"/>
              </w:rPr>
              <w:t xml:space="preserve">                          </w:t>
            </w:r>
            <w:r w:rsidR="00D70CE2" w:rsidRPr="0081022E">
              <w:rPr>
                <w:rFonts w:eastAsia="Times New Roman"/>
                <w:b/>
                <w:bCs/>
                <w:color w:val="000000"/>
                <w:lang w:eastAsia="pt-BR"/>
              </w:rPr>
              <w:t>30</w:t>
            </w:r>
            <w:r w:rsidRPr="0081022E">
              <w:rPr>
                <w:rFonts w:eastAsia="Times New Roman"/>
                <w:b/>
                <w:bCs/>
                <w:color w:val="000000"/>
                <w:lang w:eastAsia="pt-BR"/>
              </w:rPr>
              <w:t>.</w:t>
            </w:r>
            <w:r w:rsidR="00D70CE2" w:rsidRPr="0081022E">
              <w:rPr>
                <w:rFonts w:eastAsia="Times New Roman"/>
                <w:b/>
                <w:bCs/>
                <w:color w:val="000000"/>
                <w:lang w:eastAsia="pt-BR"/>
              </w:rPr>
              <w:t>18</w:t>
            </w:r>
            <w:r w:rsidR="005B6C1A">
              <w:rPr>
                <w:rFonts w:eastAsia="Times New Roman"/>
                <w:b/>
                <w:bCs/>
                <w:color w:val="000000"/>
                <w:lang w:eastAsia="pt-BR"/>
              </w:rPr>
              <w:t>6</w:t>
            </w:r>
            <w:r w:rsidRPr="0081022E">
              <w:rPr>
                <w:rFonts w:eastAsia="Times New Roman"/>
                <w:b/>
                <w:bCs/>
                <w:color w:val="000000"/>
                <w:lang w:eastAsia="pt-BR"/>
              </w:rPr>
              <w:t>.</w:t>
            </w:r>
            <w:r w:rsidR="005B6C1A">
              <w:rPr>
                <w:rFonts w:eastAsia="Times New Roman"/>
                <w:b/>
                <w:bCs/>
                <w:color w:val="000000"/>
                <w:lang w:eastAsia="pt-BR"/>
              </w:rPr>
              <w:t>330</w:t>
            </w:r>
            <w:r w:rsidRPr="0081022E">
              <w:rPr>
                <w:rFonts w:eastAsia="Times New Roman"/>
                <w:b/>
                <w:bCs/>
                <w:color w:val="000000"/>
                <w:lang w:eastAsia="pt-BR"/>
              </w:rPr>
              <w:t xml:space="preserve"> </w:t>
            </w:r>
          </w:p>
        </w:tc>
      </w:tr>
      <w:tr w:rsidR="00532A60" w:rsidRPr="00532A60" w:rsidTr="00532A60">
        <w:trPr>
          <w:trHeight w:val="300"/>
        </w:trPr>
        <w:tc>
          <w:tcPr>
            <w:tcW w:w="3996" w:type="dxa"/>
            <w:tcBorders>
              <w:top w:val="nil"/>
              <w:left w:val="nil"/>
              <w:bottom w:val="nil"/>
              <w:right w:val="nil"/>
            </w:tcBorders>
            <w:shd w:val="clear" w:color="auto" w:fill="auto"/>
            <w:noWrap/>
            <w:vAlign w:val="bottom"/>
            <w:hideMark/>
          </w:tcPr>
          <w:p w:rsidR="00532A60" w:rsidRPr="00532A60" w:rsidRDefault="00532A60" w:rsidP="00532A60">
            <w:pPr>
              <w:spacing w:after="0" w:line="240" w:lineRule="auto"/>
              <w:rPr>
                <w:rFonts w:eastAsia="Times New Roman"/>
                <w:color w:val="000000"/>
                <w:lang w:eastAsia="pt-BR"/>
              </w:rPr>
            </w:pPr>
            <w:r w:rsidRPr="00532A60">
              <w:rPr>
                <w:rFonts w:eastAsia="Times New Roman"/>
                <w:color w:val="000000"/>
                <w:lang w:eastAsia="pt-BR"/>
              </w:rPr>
              <w:t>-RNO</w:t>
            </w:r>
          </w:p>
        </w:tc>
        <w:tc>
          <w:tcPr>
            <w:tcW w:w="2303" w:type="dxa"/>
            <w:tcBorders>
              <w:top w:val="nil"/>
              <w:left w:val="nil"/>
              <w:bottom w:val="nil"/>
              <w:right w:val="nil"/>
            </w:tcBorders>
            <w:shd w:val="clear" w:color="auto" w:fill="auto"/>
            <w:noWrap/>
            <w:vAlign w:val="bottom"/>
            <w:hideMark/>
          </w:tcPr>
          <w:p w:rsidR="00532A60" w:rsidRPr="0081022E" w:rsidRDefault="00532A60" w:rsidP="002B1810">
            <w:pPr>
              <w:spacing w:after="0" w:line="240" w:lineRule="auto"/>
              <w:jc w:val="right"/>
              <w:rPr>
                <w:rFonts w:eastAsia="Times New Roman"/>
                <w:b/>
                <w:bCs/>
                <w:color w:val="000000"/>
                <w:lang w:eastAsia="pt-BR"/>
              </w:rPr>
            </w:pPr>
            <w:r w:rsidRPr="0081022E">
              <w:rPr>
                <w:rFonts w:eastAsia="Times New Roman"/>
                <w:b/>
                <w:bCs/>
                <w:color w:val="000000"/>
                <w:lang w:eastAsia="pt-BR"/>
              </w:rPr>
              <w:t>0</w:t>
            </w:r>
          </w:p>
        </w:tc>
      </w:tr>
      <w:tr w:rsidR="00532A60" w:rsidRPr="00532A60" w:rsidTr="00532A60">
        <w:trPr>
          <w:trHeight w:val="300"/>
        </w:trPr>
        <w:tc>
          <w:tcPr>
            <w:tcW w:w="3996" w:type="dxa"/>
            <w:tcBorders>
              <w:top w:val="nil"/>
              <w:left w:val="nil"/>
              <w:bottom w:val="nil"/>
              <w:right w:val="nil"/>
            </w:tcBorders>
            <w:shd w:val="clear" w:color="auto" w:fill="auto"/>
            <w:noWrap/>
            <w:vAlign w:val="bottom"/>
            <w:hideMark/>
          </w:tcPr>
          <w:p w:rsidR="00532A60" w:rsidRPr="00532A60" w:rsidRDefault="00532A60" w:rsidP="00532A60">
            <w:pPr>
              <w:spacing w:after="0" w:line="240" w:lineRule="auto"/>
              <w:rPr>
                <w:rFonts w:eastAsia="Times New Roman"/>
                <w:color w:val="000000"/>
                <w:lang w:eastAsia="pt-BR"/>
              </w:rPr>
            </w:pPr>
            <w:r w:rsidRPr="00532A60">
              <w:rPr>
                <w:rFonts w:eastAsia="Times New Roman"/>
                <w:color w:val="000000"/>
                <w:lang w:eastAsia="pt-BR"/>
              </w:rPr>
              <w:t>RIR</w:t>
            </w:r>
          </w:p>
        </w:tc>
        <w:tc>
          <w:tcPr>
            <w:tcW w:w="2303" w:type="dxa"/>
            <w:tcBorders>
              <w:top w:val="nil"/>
              <w:left w:val="nil"/>
              <w:bottom w:val="nil"/>
              <w:right w:val="nil"/>
            </w:tcBorders>
            <w:shd w:val="clear" w:color="auto" w:fill="auto"/>
            <w:noWrap/>
            <w:vAlign w:val="bottom"/>
            <w:hideMark/>
          </w:tcPr>
          <w:p w:rsidR="00532A60" w:rsidRPr="0081022E" w:rsidRDefault="00532A60" w:rsidP="002B1810">
            <w:pPr>
              <w:spacing w:after="0" w:line="240" w:lineRule="auto"/>
              <w:jc w:val="right"/>
              <w:rPr>
                <w:rFonts w:eastAsia="Times New Roman"/>
                <w:b/>
                <w:bCs/>
                <w:color w:val="000000"/>
                <w:lang w:eastAsia="pt-BR"/>
              </w:rPr>
            </w:pPr>
            <w:r w:rsidRPr="0081022E">
              <w:rPr>
                <w:rFonts w:eastAsia="Times New Roman"/>
                <w:b/>
                <w:bCs/>
                <w:color w:val="000000"/>
                <w:lang w:eastAsia="pt-BR"/>
              </w:rPr>
              <w:t xml:space="preserve">                          4</w:t>
            </w:r>
            <w:r w:rsidR="00697F81" w:rsidRPr="0081022E">
              <w:rPr>
                <w:rFonts w:eastAsia="Times New Roman"/>
                <w:b/>
                <w:bCs/>
                <w:color w:val="000000"/>
                <w:lang w:eastAsia="pt-BR"/>
              </w:rPr>
              <w:t>2</w:t>
            </w:r>
            <w:r w:rsidRPr="0081022E">
              <w:rPr>
                <w:rFonts w:eastAsia="Times New Roman"/>
                <w:b/>
                <w:bCs/>
                <w:color w:val="000000"/>
                <w:lang w:eastAsia="pt-BR"/>
              </w:rPr>
              <w:t>.</w:t>
            </w:r>
            <w:r w:rsidR="006D52ED">
              <w:rPr>
                <w:rFonts w:eastAsia="Times New Roman"/>
                <w:b/>
                <w:bCs/>
                <w:color w:val="000000"/>
                <w:lang w:eastAsia="pt-BR"/>
              </w:rPr>
              <w:t>505</w:t>
            </w:r>
            <w:r w:rsidRPr="0081022E">
              <w:rPr>
                <w:rFonts w:eastAsia="Times New Roman"/>
                <w:b/>
                <w:bCs/>
                <w:color w:val="000000"/>
                <w:lang w:eastAsia="pt-BR"/>
              </w:rPr>
              <w:t>.</w:t>
            </w:r>
            <w:r w:rsidR="006D52ED">
              <w:rPr>
                <w:rFonts w:eastAsia="Times New Roman"/>
                <w:b/>
                <w:bCs/>
                <w:color w:val="000000"/>
                <w:lang w:eastAsia="pt-BR"/>
              </w:rPr>
              <w:t>553</w:t>
            </w:r>
            <w:r w:rsidRPr="0081022E">
              <w:rPr>
                <w:rFonts w:eastAsia="Times New Roman"/>
                <w:b/>
                <w:bCs/>
                <w:color w:val="000000"/>
                <w:lang w:eastAsia="pt-BR"/>
              </w:rPr>
              <w:t xml:space="preserve"> </w:t>
            </w:r>
          </w:p>
        </w:tc>
      </w:tr>
      <w:tr w:rsidR="00532A60" w:rsidRPr="00532A60" w:rsidTr="00532A60">
        <w:trPr>
          <w:trHeight w:val="300"/>
        </w:trPr>
        <w:tc>
          <w:tcPr>
            <w:tcW w:w="3996" w:type="dxa"/>
            <w:tcBorders>
              <w:top w:val="nil"/>
              <w:left w:val="nil"/>
              <w:bottom w:val="nil"/>
              <w:right w:val="nil"/>
            </w:tcBorders>
            <w:shd w:val="clear" w:color="auto" w:fill="auto"/>
            <w:noWrap/>
            <w:vAlign w:val="bottom"/>
            <w:hideMark/>
          </w:tcPr>
          <w:p w:rsidR="00532A60" w:rsidRPr="00532A60" w:rsidRDefault="00532A60" w:rsidP="00532A60">
            <w:pPr>
              <w:spacing w:after="0" w:line="240" w:lineRule="auto"/>
              <w:rPr>
                <w:rFonts w:eastAsia="Times New Roman"/>
                <w:color w:val="000000"/>
                <w:lang w:eastAsia="pt-BR"/>
              </w:rPr>
            </w:pPr>
            <w:r w:rsidRPr="00532A60">
              <w:rPr>
                <w:rFonts w:eastAsia="Times New Roman"/>
                <w:color w:val="000000"/>
                <w:lang w:eastAsia="pt-BR"/>
              </w:rPr>
              <w:t>II</w:t>
            </w:r>
          </w:p>
        </w:tc>
        <w:tc>
          <w:tcPr>
            <w:tcW w:w="2303" w:type="dxa"/>
            <w:tcBorders>
              <w:top w:val="nil"/>
              <w:left w:val="nil"/>
              <w:bottom w:val="nil"/>
              <w:right w:val="nil"/>
            </w:tcBorders>
            <w:shd w:val="clear" w:color="auto" w:fill="auto"/>
            <w:noWrap/>
            <w:vAlign w:val="bottom"/>
            <w:hideMark/>
          </w:tcPr>
          <w:p w:rsidR="00532A60" w:rsidRPr="0081022E" w:rsidRDefault="00532A60" w:rsidP="002B1810">
            <w:pPr>
              <w:spacing w:after="0" w:line="240" w:lineRule="auto"/>
              <w:jc w:val="right"/>
              <w:rPr>
                <w:rFonts w:eastAsia="Times New Roman"/>
                <w:b/>
                <w:bCs/>
                <w:color w:val="000000"/>
                <w:lang w:eastAsia="pt-BR"/>
              </w:rPr>
            </w:pPr>
            <w:r w:rsidRPr="0081022E">
              <w:rPr>
                <w:rFonts w:eastAsia="Times New Roman"/>
                <w:b/>
                <w:bCs/>
                <w:color w:val="000000"/>
                <w:lang w:eastAsia="pt-BR"/>
              </w:rPr>
              <w:t xml:space="preserve">                          </w:t>
            </w:r>
            <w:r w:rsidR="00697F81" w:rsidRPr="0081022E">
              <w:rPr>
                <w:rFonts w:eastAsia="Times New Roman"/>
                <w:b/>
                <w:bCs/>
                <w:color w:val="000000"/>
                <w:lang w:eastAsia="pt-BR"/>
              </w:rPr>
              <w:t>5</w:t>
            </w:r>
            <w:r w:rsidR="0036278E">
              <w:rPr>
                <w:rFonts w:eastAsia="Times New Roman"/>
                <w:b/>
                <w:bCs/>
                <w:color w:val="000000"/>
                <w:lang w:eastAsia="pt-BR"/>
              </w:rPr>
              <w:t>0</w:t>
            </w:r>
            <w:r w:rsidRPr="0081022E">
              <w:rPr>
                <w:rFonts w:eastAsia="Times New Roman"/>
                <w:b/>
                <w:bCs/>
                <w:color w:val="000000"/>
                <w:lang w:eastAsia="pt-BR"/>
              </w:rPr>
              <w:t>.</w:t>
            </w:r>
            <w:r w:rsidR="006D52ED">
              <w:rPr>
                <w:rFonts w:eastAsia="Times New Roman"/>
                <w:b/>
                <w:bCs/>
                <w:color w:val="000000"/>
                <w:lang w:eastAsia="pt-BR"/>
              </w:rPr>
              <w:t>630</w:t>
            </w:r>
            <w:r w:rsidRPr="0081022E">
              <w:rPr>
                <w:rFonts w:eastAsia="Times New Roman"/>
                <w:b/>
                <w:bCs/>
                <w:color w:val="000000"/>
                <w:lang w:eastAsia="pt-BR"/>
              </w:rPr>
              <w:t>.</w:t>
            </w:r>
            <w:r w:rsidR="006D52ED">
              <w:rPr>
                <w:rFonts w:eastAsia="Times New Roman"/>
                <w:b/>
                <w:bCs/>
                <w:color w:val="000000"/>
                <w:lang w:eastAsia="pt-BR"/>
              </w:rPr>
              <w:t>343</w:t>
            </w:r>
            <w:r w:rsidRPr="0081022E">
              <w:rPr>
                <w:rFonts w:eastAsia="Times New Roman"/>
                <w:b/>
                <w:bCs/>
                <w:color w:val="000000"/>
                <w:lang w:eastAsia="pt-BR"/>
              </w:rPr>
              <w:t xml:space="preserve"> </w:t>
            </w:r>
          </w:p>
        </w:tc>
      </w:tr>
      <w:tr w:rsidR="00532A60" w:rsidRPr="00532A60" w:rsidTr="00532A60">
        <w:trPr>
          <w:trHeight w:val="300"/>
        </w:trPr>
        <w:tc>
          <w:tcPr>
            <w:tcW w:w="3996" w:type="dxa"/>
            <w:tcBorders>
              <w:top w:val="nil"/>
              <w:left w:val="nil"/>
              <w:bottom w:val="nil"/>
              <w:right w:val="nil"/>
            </w:tcBorders>
            <w:shd w:val="clear" w:color="auto" w:fill="auto"/>
            <w:noWrap/>
            <w:vAlign w:val="bottom"/>
            <w:hideMark/>
          </w:tcPr>
          <w:p w:rsidR="00532A60" w:rsidRPr="00532A60" w:rsidRDefault="00532A60" w:rsidP="00532A60">
            <w:pPr>
              <w:spacing w:after="0" w:line="240" w:lineRule="auto"/>
              <w:rPr>
                <w:rFonts w:eastAsia="Times New Roman"/>
                <w:color w:val="000000"/>
                <w:lang w:eastAsia="pt-BR"/>
              </w:rPr>
            </w:pPr>
            <w:r w:rsidRPr="00532A60">
              <w:rPr>
                <w:rFonts w:eastAsia="Times New Roman"/>
                <w:color w:val="000000"/>
                <w:lang w:eastAsia="pt-BR"/>
              </w:rPr>
              <w:t>OPEX</w:t>
            </w:r>
          </w:p>
        </w:tc>
        <w:tc>
          <w:tcPr>
            <w:tcW w:w="2303" w:type="dxa"/>
            <w:tcBorders>
              <w:top w:val="nil"/>
              <w:left w:val="nil"/>
              <w:bottom w:val="nil"/>
              <w:right w:val="nil"/>
            </w:tcBorders>
            <w:shd w:val="clear" w:color="auto" w:fill="auto"/>
            <w:noWrap/>
            <w:vAlign w:val="bottom"/>
            <w:hideMark/>
          </w:tcPr>
          <w:p w:rsidR="00532A60" w:rsidRPr="0081022E" w:rsidRDefault="00532A60" w:rsidP="002B1810">
            <w:pPr>
              <w:spacing w:after="0" w:line="240" w:lineRule="auto"/>
              <w:jc w:val="right"/>
              <w:rPr>
                <w:rFonts w:eastAsia="Times New Roman"/>
                <w:b/>
                <w:bCs/>
                <w:color w:val="000000"/>
                <w:lang w:eastAsia="pt-BR"/>
              </w:rPr>
            </w:pPr>
            <w:r w:rsidRPr="0081022E">
              <w:rPr>
                <w:rFonts w:eastAsia="Times New Roman"/>
                <w:b/>
                <w:bCs/>
                <w:color w:val="000000"/>
                <w:lang w:eastAsia="pt-BR"/>
              </w:rPr>
              <w:t xml:space="preserve">                 </w:t>
            </w:r>
            <w:r w:rsidR="00D70CE2" w:rsidRPr="0073075E">
              <w:rPr>
                <w:rFonts w:eastAsia="Times New Roman"/>
                <w:b/>
                <w:bCs/>
                <w:color w:val="000000"/>
                <w:lang w:eastAsia="pt-BR"/>
              </w:rPr>
              <w:t>5</w:t>
            </w:r>
            <w:r w:rsidR="006D52ED">
              <w:rPr>
                <w:rFonts w:eastAsia="Times New Roman"/>
                <w:b/>
                <w:bCs/>
                <w:color w:val="000000"/>
                <w:lang w:eastAsia="pt-BR"/>
              </w:rPr>
              <w:t>56</w:t>
            </w:r>
            <w:r w:rsidRPr="0073075E">
              <w:rPr>
                <w:rFonts w:eastAsia="Times New Roman"/>
                <w:b/>
                <w:bCs/>
                <w:color w:val="000000"/>
                <w:lang w:eastAsia="pt-BR"/>
              </w:rPr>
              <w:t>.</w:t>
            </w:r>
            <w:r w:rsidR="006D52ED">
              <w:rPr>
                <w:rFonts w:eastAsia="Times New Roman"/>
                <w:b/>
                <w:bCs/>
                <w:color w:val="000000"/>
                <w:lang w:eastAsia="pt-BR"/>
              </w:rPr>
              <w:t>570</w:t>
            </w:r>
            <w:r w:rsidRPr="0073075E">
              <w:rPr>
                <w:rFonts w:eastAsia="Times New Roman"/>
                <w:b/>
                <w:bCs/>
                <w:color w:val="000000"/>
                <w:lang w:eastAsia="pt-BR"/>
              </w:rPr>
              <w:t>.</w:t>
            </w:r>
            <w:r w:rsidR="006D52ED">
              <w:rPr>
                <w:rFonts w:eastAsia="Times New Roman"/>
                <w:b/>
                <w:bCs/>
                <w:color w:val="000000"/>
                <w:lang w:eastAsia="pt-BR"/>
              </w:rPr>
              <w:t>870</w:t>
            </w:r>
            <w:r w:rsidRPr="0073075E">
              <w:rPr>
                <w:rFonts w:eastAsia="Times New Roman"/>
                <w:b/>
                <w:bCs/>
                <w:color w:val="000000"/>
                <w:lang w:eastAsia="pt-BR"/>
              </w:rPr>
              <w:t>,</w:t>
            </w:r>
            <w:r w:rsidR="00D70CE2" w:rsidRPr="0073075E">
              <w:rPr>
                <w:rFonts w:eastAsia="Times New Roman"/>
                <w:b/>
                <w:bCs/>
                <w:color w:val="000000"/>
                <w:lang w:eastAsia="pt-BR"/>
              </w:rPr>
              <w:t>00</w:t>
            </w:r>
            <w:r w:rsidRPr="0081022E">
              <w:rPr>
                <w:rFonts w:eastAsia="Times New Roman"/>
                <w:b/>
                <w:bCs/>
                <w:color w:val="000000"/>
                <w:lang w:eastAsia="pt-BR"/>
              </w:rPr>
              <w:t xml:space="preserve"> </w:t>
            </w:r>
          </w:p>
        </w:tc>
      </w:tr>
      <w:tr w:rsidR="00532A60" w:rsidRPr="00532A60" w:rsidTr="00532A60">
        <w:trPr>
          <w:trHeight w:val="300"/>
        </w:trPr>
        <w:tc>
          <w:tcPr>
            <w:tcW w:w="3996" w:type="dxa"/>
            <w:tcBorders>
              <w:top w:val="nil"/>
              <w:left w:val="nil"/>
              <w:bottom w:val="nil"/>
              <w:right w:val="nil"/>
            </w:tcBorders>
            <w:shd w:val="clear" w:color="auto" w:fill="auto"/>
            <w:noWrap/>
            <w:vAlign w:val="bottom"/>
            <w:hideMark/>
          </w:tcPr>
          <w:p w:rsidR="00532A60" w:rsidRPr="00532A60" w:rsidRDefault="00532A60" w:rsidP="00532A60">
            <w:pPr>
              <w:spacing w:after="0" w:line="240" w:lineRule="auto"/>
              <w:rPr>
                <w:rFonts w:eastAsia="Times New Roman"/>
                <w:color w:val="000000"/>
                <w:lang w:eastAsia="pt-BR"/>
              </w:rPr>
            </w:pPr>
            <w:r w:rsidRPr="00532A60">
              <w:rPr>
                <w:rFonts w:eastAsia="Times New Roman"/>
                <w:color w:val="000000"/>
                <w:lang w:eastAsia="pt-BR"/>
              </w:rPr>
              <w:t>CAPEX</w:t>
            </w:r>
          </w:p>
        </w:tc>
        <w:tc>
          <w:tcPr>
            <w:tcW w:w="2303" w:type="dxa"/>
            <w:tcBorders>
              <w:top w:val="nil"/>
              <w:left w:val="nil"/>
              <w:bottom w:val="nil"/>
              <w:right w:val="nil"/>
            </w:tcBorders>
            <w:shd w:val="clear" w:color="auto" w:fill="auto"/>
            <w:noWrap/>
            <w:vAlign w:val="bottom"/>
            <w:hideMark/>
          </w:tcPr>
          <w:p w:rsidR="00532A60" w:rsidRPr="0081022E" w:rsidRDefault="00532A60" w:rsidP="002B1810">
            <w:pPr>
              <w:spacing w:after="0" w:line="240" w:lineRule="auto"/>
              <w:jc w:val="right"/>
              <w:rPr>
                <w:rFonts w:eastAsia="Times New Roman"/>
                <w:b/>
                <w:bCs/>
                <w:color w:val="000000"/>
                <w:lang w:eastAsia="pt-BR"/>
              </w:rPr>
            </w:pPr>
            <w:r w:rsidRPr="0081022E">
              <w:rPr>
                <w:rFonts w:eastAsia="Times New Roman"/>
                <w:b/>
                <w:bCs/>
                <w:color w:val="000000"/>
                <w:lang w:eastAsia="pt-BR"/>
              </w:rPr>
              <w:t xml:space="preserve">                 </w:t>
            </w:r>
            <w:r w:rsidR="00697F81" w:rsidRPr="0081022E">
              <w:rPr>
                <w:rFonts w:eastAsia="Times New Roman"/>
                <w:b/>
                <w:bCs/>
                <w:color w:val="000000"/>
                <w:lang w:eastAsia="pt-BR"/>
              </w:rPr>
              <w:t>5</w:t>
            </w:r>
            <w:r w:rsidR="0036278E">
              <w:rPr>
                <w:rFonts w:eastAsia="Times New Roman"/>
                <w:b/>
                <w:bCs/>
                <w:color w:val="000000"/>
                <w:lang w:eastAsia="pt-BR"/>
              </w:rPr>
              <w:t>5</w:t>
            </w:r>
            <w:r w:rsidR="0073075E">
              <w:rPr>
                <w:rFonts w:eastAsia="Times New Roman"/>
                <w:b/>
                <w:bCs/>
                <w:color w:val="000000"/>
                <w:lang w:eastAsia="pt-BR"/>
              </w:rPr>
              <w:t>8</w:t>
            </w:r>
            <w:r w:rsidRPr="0081022E">
              <w:rPr>
                <w:rFonts w:eastAsia="Times New Roman"/>
                <w:b/>
                <w:bCs/>
                <w:color w:val="000000"/>
                <w:lang w:eastAsia="pt-BR"/>
              </w:rPr>
              <w:t>.</w:t>
            </w:r>
            <w:r w:rsidR="0073075E">
              <w:rPr>
                <w:rFonts w:eastAsia="Times New Roman"/>
                <w:b/>
                <w:bCs/>
                <w:color w:val="000000"/>
                <w:lang w:eastAsia="pt-BR"/>
              </w:rPr>
              <w:t>4</w:t>
            </w:r>
            <w:r w:rsidR="005B6C1A">
              <w:rPr>
                <w:rFonts w:eastAsia="Times New Roman"/>
                <w:b/>
                <w:bCs/>
                <w:color w:val="000000"/>
                <w:lang w:eastAsia="pt-BR"/>
              </w:rPr>
              <w:t>17</w:t>
            </w:r>
            <w:r w:rsidRPr="0081022E">
              <w:rPr>
                <w:rFonts w:eastAsia="Times New Roman"/>
                <w:b/>
                <w:bCs/>
                <w:color w:val="000000"/>
                <w:lang w:eastAsia="pt-BR"/>
              </w:rPr>
              <w:t>.</w:t>
            </w:r>
            <w:r w:rsidR="005B6C1A">
              <w:rPr>
                <w:rFonts w:eastAsia="Times New Roman"/>
                <w:b/>
                <w:bCs/>
                <w:color w:val="000000"/>
                <w:lang w:eastAsia="pt-BR"/>
              </w:rPr>
              <w:t>018</w:t>
            </w:r>
            <w:r w:rsidRPr="0081022E">
              <w:rPr>
                <w:rFonts w:eastAsia="Times New Roman"/>
                <w:b/>
                <w:bCs/>
                <w:color w:val="000000"/>
                <w:lang w:eastAsia="pt-BR"/>
              </w:rPr>
              <w:t>,</w:t>
            </w:r>
            <w:r w:rsidR="00D70CE2" w:rsidRPr="0081022E">
              <w:rPr>
                <w:rFonts w:eastAsia="Times New Roman"/>
                <w:b/>
                <w:bCs/>
                <w:color w:val="000000"/>
                <w:lang w:eastAsia="pt-BR"/>
              </w:rPr>
              <w:t>00</w:t>
            </w:r>
            <w:r w:rsidRPr="0081022E">
              <w:rPr>
                <w:rFonts w:eastAsia="Times New Roman"/>
                <w:b/>
                <w:bCs/>
                <w:color w:val="000000"/>
                <w:lang w:eastAsia="pt-BR"/>
              </w:rPr>
              <w:t xml:space="preserve"> </w:t>
            </w:r>
          </w:p>
        </w:tc>
      </w:tr>
      <w:tr w:rsidR="00532A60" w:rsidRPr="00532A60" w:rsidTr="00532A60">
        <w:trPr>
          <w:trHeight w:val="300"/>
        </w:trPr>
        <w:tc>
          <w:tcPr>
            <w:tcW w:w="3996" w:type="dxa"/>
            <w:tcBorders>
              <w:top w:val="nil"/>
              <w:left w:val="nil"/>
              <w:bottom w:val="nil"/>
              <w:right w:val="nil"/>
            </w:tcBorders>
            <w:shd w:val="clear" w:color="auto" w:fill="auto"/>
            <w:noWrap/>
            <w:vAlign w:val="bottom"/>
            <w:hideMark/>
          </w:tcPr>
          <w:p w:rsidR="00532A60" w:rsidRPr="00532A60" w:rsidRDefault="00532A60" w:rsidP="00532A60">
            <w:pPr>
              <w:spacing w:after="0" w:line="240" w:lineRule="auto"/>
              <w:rPr>
                <w:rFonts w:eastAsia="Times New Roman"/>
                <w:color w:val="000000"/>
                <w:lang w:eastAsia="pt-BR"/>
              </w:rPr>
            </w:pPr>
            <w:r w:rsidRPr="00532A60">
              <w:rPr>
                <w:rFonts w:eastAsia="Times New Roman"/>
                <w:color w:val="000000"/>
                <w:lang w:eastAsia="pt-BR"/>
              </w:rPr>
              <w:t>IRCL</w:t>
            </w:r>
          </w:p>
        </w:tc>
        <w:tc>
          <w:tcPr>
            <w:tcW w:w="2303" w:type="dxa"/>
            <w:tcBorders>
              <w:top w:val="nil"/>
              <w:left w:val="nil"/>
              <w:bottom w:val="nil"/>
              <w:right w:val="nil"/>
            </w:tcBorders>
            <w:shd w:val="clear" w:color="auto" w:fill="auto"/>
            <w:noWrap/>
            <w:vAlign w:val="bottom"/>
            <w:hideMark/>
          </w:tcPr>
          <w:p w:rsidR="00532A60" w:rsidRPr="0081022E" w:rsidRDefault="00532A60" w:rsidP="002B1810">
            <w:pPr>
              <w:spacing w:after="0" w:line="240" w:lineRule="auto"/>
              <w:jc w:val="right"/>
              <w:rPr>
                <w:rFonts w:eastAsia="Times New Roman"/>
                <w:b/>
                <w:bCs/>
                <w:color w:val="000000"/>
                <w:lang w:eastAsia="pt-BR"/>
              </w:rPr>
            </w:pPr>
            <w:r w:rsidRPr="0081022E">
              <w:rPr>
                <w:rFonts w:eastAsia="Times New Roman"/>
                <w:b/>
                <w:bCs/>
                <w:color w:val="000000"/>
                <w:lang w:eastAsia="pt-BR"/>
              </w:rPr>
              <w:t xml:space="preserve">                       1</w:t>
            </w:r>
            <w:r w:rsidR="00697F81" w:rsidRPr="0081022E">
              <w:rPr>
                <w:rFonts w:eastAsia="Times New Roman"/>
                <w:b/>
                <w:bCs/>
                <w:color w:val="000000"/>
                <w:lang w:eastAsia="pt-BR"/>
              </w:rPr>
              <w:t>3</w:t>
            </w:r>
            <w:r w:rsidR="005B6C1A">
              <w:rPr>
                <w:rFonts w:eastAsia="Times New Roman"/>
                <w:b/>
                <w:bCs/>
                <w:color w:val="000000"/>
                <w:lang w:eastAsia="pt-BR"/>
              </w:rPr>
              <w:t>3</w:t>
            </w:r>
            <w:r w:rsidRPr="0081022E">
              <w:rPr>
                <w:rFonts w:eastAsia="Times New Roman"/>
                <w:b/>
                <w:bCs/>
                <w:color w:val="000000"/>
                <w:lang w:eastAsia="pt-BR"/>
              </w:rPr>
              <w:t>.</w:t>
            </w:r>
            <w:r w:rsidR="005B6C1A">
              <w:rPr>
                <w:rFonts w:eastAsia="Times New Roman"/>
                <w:b/>
                <w:bCs/>
                <w:color w:val="000000"/>
                <w:lang w:eastAsia="pt-BR"/>
              </w:rPr>
              <w:t>560</w:t>
            </w:r>
            <w:r w:rsidRPr="0081022E">
              <w:rPr>
                <w:rFonts w:eastAsia="Times New Roman"/>
                <w:b/>
                <w:bCs/>
                <w:color w:val="000000"/>
                <w:lang w:eastAsia="pt-BR"/>
              </w:rPr>
              <w:t>.</w:t>
            </w:r>
            <w:r w:rsidR="005B6C1A">
              <w:rPr>
                <w:rFonts w:eastAsia="Times New Roman"/>
                <w:b/>
                <w:bCs/>
                <w:color w:val="000000"/>
                <w:lang w:eastAsia="pt-BR"/>
              </w:rPr>
              <w:t>697</w:t>
            </w:r>
            <w:r w:rsidRPr="0081022E">
              <w:rPr>
                <w:rFonts w:eastAsia="Times New Roman"/>
                <w:b/>
                <w:bCs/>
                <w:color w:val="000000"/>
                <w:lang w:eastAsia="pt-BR"/>
              </w:rPr>
              <w:t xml:space="preserve"> </w:t>
            </w:r>
          </w:p>
        </w:tc>
      </w:tr>
      <w:tr w:rsidR="00532A60" w:rsidRPr="00532A60" w:rsidTr="00532A60">
        <w:trPr>
          <w:trHeight w:val="300"/>
        </w:trPr>
        <w:tc>
          <w:tcPr>
            <w:tcW w:w="3996" w:type="dxa"/>
            <w:tcBorders>
              <w:top w:val="nil"/>
              <w:left w:val="nil"/>
              <w:bottom w:val="single" w:sz="4" w:space="0" w:color="auto"/>
              <w:right w:val="nil"/>
            </w:tcBorders>
            <w:shd w:val="clear" w:color="auto" w:fill="auto"/>
            <w:noWrap/>
            <w:vAlign w:val="bottom"/>
            <w:hideMark/>
          </w:tcPr>
          <w:p w:rsidR="00532A60" w:rsidRPr="00532A60" w:rsidRDefault="00532A60" w:rsidP="00532A60">
            <w:pPr>
              <w:spacing w:after="0" w:line="240" w:lineRule="auto"/>
              <w:rPr>
                <w:rFonts w:eastAsia="Times New Roman"/>
                <w:color w:val="000000"/>
                <w:lang w:eastAsia="pt-BR"/>
              </w:rPr>
            </w:pPr>
            <w:r w:rsidRPr="00532A60">
              <w:rPr>
                <w:rFonts w:eastAsia="Times New Roman"/>
                <w:color w:val="000000"/>
                <w:lang w:eastAsia="pt-BR"/>
              </w:rPr>
              <w:lastRenderedPageBreak/>
              <w:t>TREG</w:t>
            </w:r>
          </w:p>
        </w:tc>
        <w:tc>
          <w:tcPr>
            <w:tcW w:w="2303" w:type="dxa"/>
            <w:tcBorders>
              <w:top w:val="nil"/>
              <w:left w:val="nil"/>
              <w:bottom w:val="single" w:sz="4" w:space="0" w:color="auto"/>
              <w:right w:val="nil"/>
            </w:tcBorders>
            <w:shd w:val="clear" w:color="auto" w:fill="auto"/>
            <w:noWrap/>
            <w:vAlign w:val="bottom"/>
            <w:hideMark/>
          </w:tcPr>
          <w:p w:rsidR="00532A60" w:rsidRPr="0081022E" w:rsidRDefault="00532A60" w:rsidP="002B1810">
            <w:pPr>
              <w:spacing w:after="0" w:line="240" w:lineRule="auto"/>
              <w:jc w:val="right"/>
              <w:rPr>
                <w:rFonts w:eastAsia="Times New Roman"/>
                <w:b/>
                <w:bCs/>
                <w:color w:val="000000"/>
                <w:lang w:eastAsia="pt-BR"/>
              </w:rPr>
            </w:pPr>
            <w:r w:rsidRPr="0081022E">
              <w:rPr>
                <w:rFonts w:eastAsia="Times New Roman"/>
                <w:b/>
                <w:bCs/>
                <w:color w:val="000000"/>
                <w:lang w:eastAsia="pt-BR"/>
              </w:rPr>
              <w:t xml:space="preserve">                            </w:t>
            </w:r>
            <w:r w:rsidR="00D70CE2" w:rsidRPr="0081022E">
              <w:rPr>
                <w:rFonts w:eastAsia="Times New Roman"/>
                <w:b/>
                <w:bCs/>
                <w:color w:val="000000"/>
                <w:lang w:eastAsia="pt-BR"/>
              </w:rPr>
              <w:t>4</w:t>
            </w:r>
            <w:r w:rsidRPr="0081022E">
              <w:rPr>
                <w:rFonts w:eastAsia="Times New Roman"/>
                <w:b/>
                <w:bCs/>
                <w:color w:val="000000"/>
                <w:lang w:eastAsia="pt-BR"/>
              </w:rPr>
              <w:t>.</w:t>
            </w:r>
            <w:r w:rsidR="00697F81" w:rsidRPr="0081022E">
              <w:rPr>
                <w:rFonts w:eastAsia="Times New Roman"/>
                <w:b/>
                <w:bCs/>
                <w:color w:val="000000"/>
                <w:lang w:eastAsia="pt-BR"/>
              </w:rPr>
              <w:t>7</w:t>
            </w:r>
            <w:r w:rsidR="006D52ED">
              <w:rPr>
                <w:rFonts w:eastAsia="Times New Roman"/>
                <w:b/>
                <w:bCs/>
                <w:color w:val="000000"/>
                <w:lang w:eastAsia="pt-BR"/>
              </w:rPr>
              <w:t>16</w:t>
            </w:r>
            <w:r w:rsidRPr="0081022E">
              <w:rPr>
                <w:rFonts w:eastAsia="Times New Roman"/>
                <w:b/>
                <w:bCs/>
                <w:color w:val="000000"/>
                <w:lang w:eastAsia="pt-BR"/>
              </w:rPr>
              <w:t>.</w:t>
            </w:r>
            <w:r w:rsidR="006D52ED">
              <w:rPr>
                <w:rFonts w:eastAsia="Times New Roman"/>
                <w:b/>
                <w:bCs/>
                <w:color w:val="000000"/>
                <w:lang w:eastAsia="pt-BR"/>
              </w:rPr>
              <w:t>629</w:t>
            </w:r>
            <w:r w:rsidRPr="0081022E">
              <w:rPr>
                <w:rFonts w:eastAsia="Times New Roman"/>
                <w:b/>
                <w:bCs/>
                <w:color w:val="000000"/>
                <w:lang w:eastAsia="pt-BR"/>
              </w:rPr>
              <w:t xml:space="preserve"> </w:t>
            </w:r>
          </w:p>
        </w:tc>
      </w:tr>
      <w:tr w:rsidR="00532A60" w:rsidRPr="00532A60" w:rsidTr="00532A60">
        <w:trPr>
          <w:trHeight w:val="300"/>
        </w:trPr>
        <w:tc>
          <w:tcPr>
            <w:tcW w:w="3996" w:type="dxa"/>
            <w:tcBorders>
              <w:top w:val="nil"/>
              <w:left w:val="nil"/>
              <w:bottom w:val="nil"/>
              <w:right w:val="nil"/>
            </w:tcBorders>
            <w:shd w:val="clear" w:color="auto" w:fill="auto"/>
            <w:noWrap/>
            <w:vAlign w:val="bottom"/>
            <w:hideMark/>
          </w:tcPr>
          <w:p w:rsidR="00532A60" w:rsidRPr="00532A60" w:rsidRDefault="00532A60" w:rsidP="00532A60">
            <w:pPr>
              <w:spacing w:after="0" w:line="240" w:lineRule="auto"/>
              <w:rPr>
                <w:rFonts w:eastAsia="Times New Roman"/>
                <w:color w:val="000000"/>
                <w:lang w:eastAsia="pt-BR"/>
              </w:rPr>
            </w:pPr>
            <w:r w:rsidRPr="00532A60">
              <w:rPr>
                <w:rFonts w:eastAsia="Times New Roman"/>
                <w:color w:val="000000"/>
                <w:lang w:eastAsia="pt-BR"/>
              </w:rPr>
              <w:t>VFA</w:t>
            </w:r>
          </w:p>
        </w:tc>
        <w:tc>
          <w:tcPr>
            <w:tcW w:w="2303" w:type="dxa"/>
            <w:tcBorders>
              <w:top w:val="nil"/>
              <w:left w:val="nil"/>
              <w:bottom w:val="nil"/>
              <w:right w:val="nil"/>
            </w:tcBorders>
            <w:shd w:val="clear" w:color="auto" w:fill="auto"/>
            <w:noWrap/>
            <w:vAlign w:val="bottom"/>
            <w:hideMark/>
          </w:tcPr>
          <w:p w:rsidR="00532A60" w:rsidRPr="0081022E" w:rsidRDefault="00532A60" w:rsidP="002B1810">
            <w:pPr>
              <w:spacing w:after="0" w:line="240" w:lineRule="auto"/>
              <w:jc w:val="right"/>
              <w:rPr>
                <w:rFonts w:eastAsia="Times New Roman"/>
                <w:b/>
                <w:bCs/>
                <w:color w:val="000000"/>
                <w:lang w:eastAsia="pt-BR"/>
              </w:rPr>
            </w:pPr>
            <w:r w:rsidRPr="0081022E">
              <w:rPr>
                <w:rFonts w:eastAsia="Times New Roman"/>
                <w:b/>
                <w:bCs/>
                <w:color w:val="000000"/>
                <w:lang w:eastAsia="pt-BR"/>
              </w:rPr>
              <w:t xml:space="preserve">                       1</w:t>
            </w:r>
            <w:r w:rsidR="00D70CE2" w:rsidRPr="0081022E">
              <w:rPr>
                <w:rFonts w:eastAsia="Times New Roman"/>
                <w:b/>
                <w:bCs/>
                <w:color w:val="000000"/>
                <w:lang w:eastAsia="pt-BR"/>
              </w:rPr>
              <w:t>75</w:t>
            </w:r>
            <w:r w:rsidRPr="0081022E">
              <w:rPr>
                <w:rFonts w:eastAsia="Times New Roman"/>
                <w:b/>
                <w:bCs/>
                <w:color w:val="000000"/>
                <w:lang w:eastAsia="pt-BR"/>
              </w:rPr>
              <w:t>.</w:t>
            </w:r>
            <w:r w:rsidR="00D70CE2" w:rsidRPr="0081022E">
              <w:rPr>
                <w:rFonts w:eastAsia="Times New Roman"/>
                <w:b/>
                <w:bCs/>
                <w:color w:val="000000"/>
                <w:lang w:eastAsia="pt-BR"/>
              </w:rPr>
              <w:t>2</w:t>
            </w:r>
            <w:r w:rsidR="005B6C1A">
              <w:rPr>
                <w:rFonts w:eastAsia="Times New Roman"/>
                <w:b/>
                <w:bCs/>
                <w:color w:val="000000"/>
                <w:lang w:eastAsia="pt-BR"/>
              </w:rPr>
              <w:t>7</w:t>
            </w:r>
            <w:r w:rsidR="00697F81" w:rsidRPr="0081022E">
              <w:rPr>
                <w:rFonts w:eastAsia="Times New Roman"/>
                <w:b/>
                <w:bCs/>
                <w:color w:val="000000"/>
                <w:lang w:eastAsia="pt-BR"/>
              </w:rPr>
              <w:t>0</w:t>
            </w:r>
            <w:r w:rsidRPr="0081022E">
              <w:rPr>
                <w:rFonts w:eastAsia="Times New Roman"/>
                <w:b/>
                <w:bCs/>
                <w:color w:val="000000"/>
                <w:lang w:eastAsia="pt-BR"/>
              </w:rPr>
              <w:t>.</w:t>
            </w:r>
            <w:r w:rsidR="005B6C1A">
              <w:rPr>
                <w:rFonts w:eastAsia="Times New Roman"/>
                <w:b/>
                <w:bCs/>
                <w:color w:val="000000"/>
                <w:lang w:eastAsia="pt-BR"/>
              </w:rPr>
              <w:t>582</w:t>
            </w:r>
            <w:r w:rsidRPr="0081022E">
              <w:rPr>
                <w:rFonts w:eastAsia="Times New Roman"/>
                <w:b/>
                <w:bCs/>
                <w:color w:val="000000"/>
                <w:lang w:eastAsia="pt-BR"/>
              </w:rPr>
              <w:t xml:space="preserve"> </w:t>
            </w:r>
          </w:p>
        </w:tc>
      </w:tr>
      <w:tr w:rsidR="00532A60" w:rsidRPr="00532A60" w:rsidTr="00532A60">
        <w:trPr>
          <w:trHeight w:val="300"/>
        </w:trPr>
        <w:tc>
          <w:tcPr>
            <w:tcW w:w="3996" w:type="dxa"/>
            <w:tcBorders>
              <w:top w:val="nil"/>
              <w:left w:val="nil"/>
              <w:bottom w:val="single" w:sz="4" w:space="0" w:color="auto"/>
              <w:right w:val="nil"/>
            </w:tcBorders>
            <w:shd w:val="clear" w:color="auto" w:fill="auto"/>
            <w:noWrap/>
            <w:vAlign w:val="bottom"/>
            <w:hideMark/>
          </w:tcPr>
          <w:p w:rsidR="00532A60" w:rsidRPr="00532A60" w:rsidRDefault="00532A60" w:rsidP="00532A60">
            <w:pPr>
              <w:spacing w:after="0" w:line="240" w:lineRule="auto"/>
              <w:rPr>
                <w:rFonts w:eastAsia="Times New Roman"/>
                <w:color w:val="000000"/>
                <w:lang w:eastAsia="pt-BR"/>
              </w:rPr>
            </w:pPr>
            <w:r w:rsidRPr="00532A60">
              <w:rPr>
                <w:rFonts w:eastAsia="Times New Roman"/>
                <w:color w:val="000000"/>
                <w:lang w:eastAsia="pt-BR"/>
              </w:rPr>
              <w:t>VFE</w:t>
            </w:r>
          </w:p>
        </w:tc>
        <w:tc>
          <w:tcPr>
            <w:tcW w:w="2303" w:type="dxa"/>
            <w:tcBorders>
              <w:top w:val="nil"/>
              <w:left w:val="nil"/>
              <w:bottom w:val="single" w:sz="4" w:space="0" w:color="auto"/>
              <w:right w:val="nil"/>
            </w:tcBorders>
            <w:shd w:val="clear" w:color="auto" w:fill="auto"/>
            <w:noWrap/>
            <w:vAlign w:val="bottom"/>
            <w:hideMark/>
          </w:tcPr>
          <w:p w:rsidR="00532A60" w:rsidRPr="00532A60" w:rsidRDefault="00532A60" w:rsidP="002B1810">
            <w:pPr>
              <w:spacing w:after="0" w:line="240" w:lineRule="auto"/>
              <w:jc w:val="right"/>
              <w:rPr>
                <w:rFonts w:eastAsia="Times New Roman"/>
                <w:b/>
                <w:bCs/>
                <w:color w:val="000000"/>
                <w:lang w:eastAsia="pt-BR"/>
              </w:rPr>
            </w:pPr>
            <w:r w:rsidRPr="00532A60">
              <w:rPr>
                <w:rFonts w:eastAsia="Times New Roman"/>
                <w:b/>
                <w:bCs/>
                <w:color w:val="000000"/>
                <w:lang w:eastAsia="pt-BR"/>
              </w:rPr>
              <w:t xml:space="preserve">                       10</w:t>
            </w:r>
            <w:r w:rsidR="00D70CE2">
              <w:rPr>
                <w:rFonts w:eastAsia="Times New Roman"/>
                <w:b/>
                <w:bCs/>
                <w:color w:val="000000"/>
                <w:lang w:eastAsia="pt-BR"/>
              </w:rPr>
              <w:t>5</w:t>
            </w:r>
            <w:r w:rsidRPr="00532A60">
              <w:rPr>
                <w:rFonts w:eastAsia="Times New Roman"/>
                <w:b/>
                <w:bCs/>
                <w:color w:val="000000"/>
                <w:lang w:eastAsia="pt-BR"/>
              </w:rPr>
              <w:t>.</w:t>
            </w:r>
            <w:r w:rsidR="00D70CE2">
              <w:rPr>
                <w:rFonts w:eastAsia="Times New Roman"/>
                <w:b/>
                <w:bCs/>
                <w:color w:val="000000"/>
                <w:lang w:eastAsia="pt-BR"/>
              </w:rPr>
              <w:t>5</w:t>
            </w:r>
            <w:r w:rsidR="005B6C1A">
              <w:rPr>
                <w:rFonts w:eastAsia="Times New Roman"/>
                <w:b/>
                <w:bCs/>
                <w:color w:val="000000"/>
                <w:lang w:eastAsia="pt-BR"/>
              </w:rPr>
              <w:t>13</w:t>
            </w:r>
            <w:r w:rsidRPr="00532A60">
              <w:rPr>
                <w:rFonts w:eastAsia="Times New Roman"/>
                <w:b/>
                <w:bCs/>
                <w:color w:val="000000"/>
                <w:lang w:eastAsia="pt-BR"/>
              </w:rPr>
              <w:t>.</w:t>
            </w:r>
            <w:r w:rsidR="005B6C1A">
              <w:rPr>
                <w:rFonts w:eastAsia="Times New Roman"/>
                <w:b/>
                <w:bCs/>
                <w:color w:val="000000"/>
                <w:lang w:eastAsia="pt-BR"/>
              </w:rPr>
              <w:t>79</w:t>
            </w:r>
            <w:r w:rsidR="00D70CE2">
              <w:rPr>
                <w:rFonts w:eastAsia="Times New Roman"/>
                <w:b/>
                <w:bCs/>
                <w:color w:val="000000"/>
                <w:lang w:eastAsia="pt-BR"/>
              </w:rPr>
              <w:t>2</w:t>
            </w:r>
            <w:r w:rsidRPr="00532A60">
              <w:rPr>
                <w:rFonts w:eastAsia="Times New Roman"/>
                <w:b/>
                <w:bCs/>
                <w:color w:val="000000"/>
                <w:lang w:eastAsia="pt-BR"/>
              </w:rPr>
              <w:t xml:space="preserve"> </w:t>
            </w:r>
          </w:p>
        </w:tc>
      </w:tr>
      <w:tr w:rsidR="00532A60" w:rsidRPr="00532A60" w:rsidTr="00532A60">
        <w:trPr>
          <w:trHeight w:val="300"/>
        </w:trPr>
        <w:tc>
          <w:tcPr>
            <w:tcW w:w="3996" w:type="dxa"/>
            <w:tcBorders>
              <w:top w:val="nil"/>
              <w:left w:val="nil"/>
              <w:bottom w:val="nil"/>
              <w:right w:val="nil"/>
            </w:tcBorders>
            <w:shd w:val="clear" w:color="auto" w:fill="auto"/>
            <w:noWrap/>
            <w:vAlign w:val="bottom"/>
            <w:hideMark/>
          </w:tcPr>
          <w:p w:rsidR="00532A60" w:rsidRPr="00532A60" w:rsidRDefault="00532A60" w:rsidP="00532A60">
            <w:pPr>
              <w:spacing w:after="0" w:line="240" w:lineRule="auto"/>
              <w:rPr>
                <w:rFonts w:eastAsia="Times New Roman"/>
                <w:color w:val="000000"/>
                <w:lang w:eastAsia="pt-BR"/>
              </w:rPr>
            </w:pPr>
            <w:r w:rsidRPr="00532A60">
              <w:rPr>
                <w:rFonts w:eastAsia="Times New Roman"/>
                <w:color w:val="000000"/>
                <w:lang w:eastAsia="pt-BR"/>
              </w:rPr>
              <w:t>NUMERADOR</w:t>
            </w:r>
          </w:p>
        </w:tc>
        <w:tc>
          <w:tcPr>
            <w:tcW w:w="2303" w:type="dxa"/>
            <w:tcBorders>
              <w:top w:val="nil"/>
              <w:left w:val="nil"/>
              <w:bottom w:val="nil"/>
              <w:right w:val="nil"/>
            </w:tcBorders>
            <w:shd w:val="clear" w:color="auto" w:fill="auto"/>
            <w:noWrap/>
            <w:vAlign w:val="bottom"/>
            <w:hideMark/>
          </w:tcPr>
          <w:p w:rsidR="00532A60" w:rsidRPr="00532A60" w:rsidRDefault="00532A60" w:rsidP="002B1810">
            <w:pPr>
              <w:spacing w:after="0" w:line="240" w:lineRule="auto"/>
              <w:jc w:val="right"/>
              <w:rPr>
                <w:rFonts w:eastAsia="Times New Roman"/>
                <w:b/>
                <w:bCs/>
                <w:color w:val="000000"/>
                <w:lang w:eastAsia="pt-BR"/>
              </w:rPr>
            </w:pPr>
            <w:r w:rsidRPr="00532A60">
              <w:rPr>
                <w:rFonts w:eastAsia="Times New Roman"/>
                <w:b/>
                <w:bCs/>
                <w:color w:val="000000"/>
                <w:lang w:eastAsia="pt-BR"/>
              </w:rPr>
              <w:t xml:space="preserve">              1.</w:t>
            </w:r>
            <w:r w:rsidR="00697F81">
              <w:rPr>
                <w:rFonts w:eastAsia="Times New Roman"/>
                <w:b/>
                <w:bCs/>
                <w:color w:val="000000"/>
                <w:lang w:eastAsia="pt-BR"/>
              </w:rPr>
              <w:t>1</w:t>
            </w:r>
            <w:r w:rsidR="006D52ED">
              <w:rPr>
                <w:rFonts w:eastAsia="Times New Roman"/>
                <w:b/>
                <w:bCs/>
                <w:color w:val="000000"/>
                <w:lang w:eastAsia="pt-BR"/>
              </w:rPr>
              <w:t>12</w:t>
            </w:r>
            <w:r w:rsidRPr="00532A60">
              <w:rPr>
                <w:rFonts w:eastAsia="Times New Roman"/>
                <w:b/>
                <w:bCs/>
                <w:color w:val="000000"/>
                <w:lang w:eastAsia="pt-BR"/>
              </w:rPr>
              <w:t>.</w:t>
            </w:r>
            <w:r w:rsidR="006D52ED">
              <w:rPr>
                <w:rFonts w:eastAsia="Times New Roman"/>
                <w:b/>
                <w:bCs/>
                <w:color w:val="000000"/>
                <w:lang w:eastAsia="pt-BR"/>
              </w:rPr>
              <w:t>710</w:t>
            </w:r>
            <w:r w:rsidRPr="00532A60">
              <w:rPr>
                <w:rFonts w:eastAsia="Times New Roman"/>
                <w:b/>
                <w:bCs/>
                <w:color w:val="000000"/>
                <w:lang w:eastAsia="pt-BR"/>
              </w:rPr>
              <w:t>.</w:t>
            </w:r>
            <w:r w:rsidR="006D52ED">
              <w:rPr>
                <w:rFonts w:eastAsia="Times New Roman"/>
                <w:b/>
                <w:bCs/>
                <w:color w:val="000000"/>
                <w:lang w:eastAsia="pt-BR"/>
              </w:rPr>
              <w:t>811</w:t>
            </w:r>
            <w:r w:rsidRPr="00532A60">
              <w:rPr>
                <w:rFonts w:eastAsia="Times New Roman"/>
                <w:b/>
                <w:bCs/>
                <w:color w:val="000000"/>
                <w:lang w:eastAsia="pt-BR"/>
              </w:rPr>
              <w:t>,</w:t>
            </w:r>
            <w:r w:rsidR="006D52ED">
              <w:rPr>
                <w:rFonts w:eastAsia="Times New Roman"/>
                <w:b/>
                <w:bCs/>
                <w:color w:val="000000"/>
                <w:lang w:eastAsia="pt-BR"/>
              </w:rPr>
              <w:t>36</w:t>
            </w:r>
            <w:r w:rsidRPr="00532A60">
              <w:rPr>
                <w:rFonts w:eastAsia="Times New Roman"/>
                <w:b/>
                <w:bCs/>
                <w:color w:val="000000"/>
                <w:lang w:eastAsia="pt-BR"/>
              </w:rPr>
              <w:t xml:space="preserve"> </w:t>
            </w:r>
          </w:p>
        </w:tc>
      </w:tr>
      <w:tr w:rsidR="00532A60" w:rsidRPr="00532A60" w:rsidTr="00532A60">
        <w:trPr>
          <w:trHeight w:val="300"/>
        </w:trPr>
        <w:tc>
          <w:tcPr>
            <w:tcW w:w="3996" w:type="dxa"/>
            <w:tcBorders>
              <w:top w:val="nil"/>
              <w:left w:val="nil"/>
              <w:bottom w:val="nil"/>
              <w:right w:val="nil"/>
            </w:tcBorders>
            <w:shd w:val="clear" w:color="auto" w:fill="auto"/>
            <w:noWrap/>
            <w:vAlign w:val="bottom"/>
            <w:hideMark/>
          </w:tcPr>
          <w:p w:rsidR="00532A60" w:rsidRPr="00532A60" w:rsidRDefault="00532A60" w:rsidP="00532A60">
            <w:pPr>
              <w:spacing w:after="0" w:line="240" w:lineRule="auto"/>
              <w:rPr>
                <w:rFonts w:eastAsia="Times New Roman"/>
                <w:color w:val="000000"/>
                <w:lang w:eastAsia="pt-BR"/>
              </w:rPr>
            </w:pPr>
            <w:r w:rsidRPr="00532A60">
              <w:rPr>
                <w:rFonts w:eastAsia="Times New Roman"/>
                <w:color w:val="000000"/>
                <w:lang w:eastAsia="pt-BR"/>
              </w:rPr>
              <w:t>DENOMINADOR</w:t>
            </w:r>
          </w:p>
        </w:tc>
        <w:tc>
          <w:tcPr>
            <w:tcW w:w="2303" w:type="dxa"/>
            <w:tcBorders>
              <w:top w:val="nil"/>
              <w:left w:val="nil"/>
              <w:bottom w:val="nil"/>
              <w:right w:val="nil"/>
            </w:tcBorders>
            <w:shd w:val="clear" w:color="auto" w:fill="auto"/>
            <w:noWrap/>
            <w:vAlign w:val="bottom"/>
            <w:hideMark/>
          </w:tcPr>
          <w:p w:rsidR="00532A60" w:rsidRPr="00532A60" w:rsidRDefault="00532A60" w:rsidP="002B1810">
            <w:pPr>
              <w:spacing w:after="0" w:line="240" w:lineRule="auto"/>
              <w:jc w:val="right"/>
              <w:rPr>
                <w:rFonts w:eastAsia="Times New Roman"/>
                <w:b/>
                <w:bCs/>
                <w:color w:val="000000"/>
                <w:lang w:eastAsia="pt-BR"/>
              </w:rPr>
            </w:pPr>
            <w:r w:rsidRPr="00532A60">
              <w:rPr>
                <w:rFonts w:eastAsia="Times New Roman"/>
                <w:b/>
                <w:bCs/>
                <w:color w:val="000000"/>
                <w:lang w:eastAsia="pt-BR"/>
              </w:rPr>
              <w:t xml:space="preserve">                       2</w:t>
            </w:r>
            <w:r w:rsidR="00D70CE2">
              <w:rPr>
                <w:rFonts w:eastAsia="Times New Roman"/>
                <w:b/>
                <w:bCs/>
                <w:color w:val="000000"/>
                <w:lang w:eastAsia="pt-BR"/>
              </w:rPr>
              <w:t>59</w:t>
            </w:r>
            <w:r w:rsidRPr="00532A60">
              <w:rPr>
                <w:rFonts w:eastAsia="Times New Roman"/>
                <w:b/>
                <w:bCs/>
                <w:color w:val="000000"/>
                <w:lang w:eastAsia="pt-BR"/>
              </w:rPr>
              <w:t>.</w:t>
            </w:r>
            <w:r w:rsidR="00D70CE2">
              <w:rPr>
                <w:rFonts w:eastAsia="Times New Roman"/>
                <w:b/>
                <w:bCs/>
                <w:color w:val="000000"/>
                <w:lang w:eastAsia="pt-BR"/>
              </w:rPr>
              <w:t>6</w:t>
            </w:r>
            <w:r w:rsidR="005B6C1A">
              <w:rPr>
                <w:rFonts w:eastAsia="Times New Roman"/>
                <w:b/>
                <w:bCs/>
                <w:color w:val="000000"/>
                <w:lang w:eastAsia="pt-BR"/>
              </w:rPr>
              <w:t>81</w:t>
            </w:r>
            <w:r w:rsidRPr="00532A60">
              <w:rPr>
                <w:rFonts w:eastAsia="Times New Roman"/>
                <w:b/>
                <w:bCs/>
                <w:color w:val="000000"/>
                <w:lang w:eastAsia="pt-BR"/>
              </w:rPr>
              <w:t>.</w:t>
            </w:r>
            <w:r w:rsidR="005B6C1A">
              <w:rPr>
                <w:rFonts w:eastAsia="Times New Roman"/>
                <w:b/>
                <w:bCs/>
                <w:color w:val="000000"/>
                <w:lang w:eastAsia="pt-BR"/>
              </w:rPr>
              <w:t>616</w:t>
            </w:r>
            <w:r w:rsidRPr="00532A60">
              <w:rPr>
                <w:rFonts w:eastAsia="Times New Roman"/>
                <w:b/>
                <w:bCs/>
                <w:color w:val="000000"/>
                <w:lang w:eastAsia="pt-BR"/>
              </w:rPr>
              <w:t xml:space="preserve"> </w:t>
            </w:r>
          </w:p>
        </w:tc>
      </w:tr>
      <w:tr w:rsidR="00532A60" w:rsidRPr="00532A60" w:rsidTr="00532A60">
        <w:trPr>
          <w:trHeight w:val="300"/>
        </w:trPr>
        <w:tc>
          <w:tcPr>
            <w:tcW w:w="3996" w:type="dxa"/>
            <w:tcBorders>
              <w:top w:val="single" w:sz="4" w:space="0" w:color="auto"/>
              <w:left w:val="nil"/>
              <w:bottom w:val="nil"/>
              <w:right w:val="nil"/>
            </w:tcBorders>
            <w:shd w:val="clear" w:color="auto" w:fill="auto"/>
            <w:noWrap/>
            <w:vAlign w:val="bottom"/>
            <w:hideMark/>
          </w:tcPr>
          <w:p w:rsidR="00532A60" w:rsidRPr="00532A60" w:rsidRDefault="00532A60" w:rsidP="00532A60">
            <w:pPr>
              <w:spacing w:after="0" w:line="240" w:lineRule="auto"/>
              <w:rPr>
                <w:rFonts w:eastAsia="Times New Roman"/>
                <w:color w:val="000000"/>
                <w:lang w:eastAsia="pt-BR"/>
              </w:rPr>
            </w:pPr>
            <w:r w:rsidRPr="00532A60">
              <w:rPr>
                <w:rFonts w:eastAsia="Times New Roman"/>
                <w:color w:val="000000"/>
                <w:lang w:eastAsia="pt-BR"/>
              </w:rPr>
              <w:t>P0A</w:t>
            </w:r>
          </w:p>
        </w:tc>
        <w:tc>
          <w:tcPr>
            <w:tcW w:w="2303" w:type="dxa"/>
            <w:tcBorders>
              <w:top w:val="single" w:sz="4" w:space="0" w:color="auto"/>
              <w:left w:val="nil"/>
              <w:bottom w:val="nil"/>
              <w:right w:val="nil"/>
            </w:tcBorders>
            <w:shd w:val="clear" w:color="auto" w:fill="auto"/>
            <w:noWrap/>
            <w:vAlign w:val="bottom"/>
            <w:hideMark/>
          </w:tcPr>
          <w:p w:rsidR="00532A60" w:rsidRPr="00532A60" w:rsidRDefault="00D70CE2" w:rsidP="002B1810">
            <w:pPr>
              <w:spacing w:after="0" w:line="240" w:lineRule="auto"/>
              <w:jc w:val="right"/>
              <w:rPr>
                <w:rFonts w:eastAsia="Times New Roman"/>
                <w:b/>
                <w:bCs/>
                <w:color w:val="000000"/>
                <w:lang w:eastAsia="pt-BR"/>
              </w:rPr>
            </w:pPr>
            <w:r>
              <w:rPr>
                <w:rFonts w:eastAsia="Times New Roman"/>
                <w:b/>
                <w:bCs/>
                <w:color w:val="000000"/>
                <w:lang w:eastAsia="pt-BR"/>
              </w:rPr>
              <w:t>4</w:t>
            </w:r>
            <w:r w:rsidR="00532A60" w:rsidRPr="00532A60">
              <w:rPr>
                <w:rFonts w:eastAsia="Times New Roman"/>
                <w:b/>
                <w:bCs/>
                <w:color w:val="000000"/>
                <w:lang w:eastAsia="pt-BR"/>
              </w:rPr>
              <w:t>,</w:t>
            </w:r>
            <w:r w:rsidR="006D52ED">
              <w:rPr>
                <w:rFonts w:eastAsia="Times New Roman"/>
                <w:b/>
                <w:bCs/>
                <w:color w:val="000000"/>
                <w:lang w:eastAsia="pt-BR"/>
              </w:rPr>
              <w:t>28</w:t>
            </w:r>
          </w:p>
        </w:tc>
      </w:tr>
      <w:tr w:rsidR="00532A60" w:rsidRPr="00532A60" w:rsidTr="00532A60">
        <w:trPr>
          <w:trHeight w:val="300"/>
        </w:trPr>
        <w:tc>
          <w:tcPr>
            <w:tcW w:w="3996" w:type="dxa"/>
            <w:tcBorders>
              <w:top w:val="nil"/>
              <w:left w:val="nil"/>
              <w:bottom w:val="single" w:sz="4" w:space="0" w:color="auto"/>
              <w:right w:val="nil"/>
            </w:tcBorders>
            <w:shd w:val="clear" w:color="auto" w:fill="auto"/>
            <w:noWrap/>
            <w:vAlign w:val="bottom"/>
            <w:hideMark/>
          </w:tcPr>
          <w:p w:rsidR="00532A60" w:rsidRPr="00532A60" w:rsidRDefault="00532A60" w:rsidP="00532A60">
            <w:pPr>
              <w:spacing w:after="0" w:line="240" w:lineRule="auto"/>
              <w:rPr>
                <w:rFonts w:eastAsia="Times New Roman"/>
                <w:color w:val="000000"/>
                <w:lang w:eastAsia="pt-BR"/>
              </w:rPr>
            </w:pPr>
            <w:r w:rsidRPr="00532A60">
              <w:rPr>
                <w:rFonts w:eastAsia="Times New Roman"/>
                <w:color w:val="000000"/>
                <w:lang w:eastAsia="pt-BR"/>
              </w:rPr>
              <w:t>P0E (80%)</w:t>
            </w:r>
          </w:p>
        </w:tc>
        <w:tc>
          <w:tcPr>
            <w:tcW w:w="2303" w:type="dxa"/>
            <w:tcBorders>
              <w:top w:val="nil"/>
              <w:left w:val="nil"/>
              <w:bottom w:val="single" w:sz="4" w:space="0" w:color="auto"/>
              <w:right w:val="nil"/>
            </w:tcBorders>
            <w:shd w:val="clear" w:color="auto" w:fill="auto"/>
            <w:noWrap/>
            <w:vAlign w:val="bottom"/>
            <w:hideMark/>
          </w:tcPr>
          <w:p w:rsidR="00532A60" w:rsidRPr="00532A60" w:rsidRDefault="00D70CE2" w:rsidP="002B1810">
            <w:pPr>
              <w:spacing w:after="0" w:line="240" w:lineRule="auto"/>
              <w:jc w:val="right"/>
              <w:rPr>
                <w:rFonts w:eastAsia="Times New Roman"/>
                <w:b/>
                <w:bCs/>
                <w:color w:val="000000"/>
                <w:lang w:eastAsia="pt-BR"/>
              </w:rPr>
            </w:pPr>
            <w:r>
              <w:rPr>
                <w:rFonts w:eastAsia="Times New Roman"/>
                <w:b/>
                <w:bCs/>
                <w:color w:val="000000"/>
                <w:lang w:eastAsia="pt-BR"/>
              </w:rPr>
              <w:t>3</w:t>
            </w:r>
            <w:r w:rsidR="00532A60" w:rsidRPr="00532A60">
              <w:rPr>
                <w:rFonts w:eastAsia="Times New Roman"/>
                <w:b/>
                <w:bCs/>
                <w:color w:val="000000"/>
                <w:lang w:eastAsia="pt-BR"/>
              </w:rPr>
              <w:t>,</w:t>
            </w:r>
            <w:r w:rsidR="00697F81">
              <w:rPr>
                <w:rFonts w:eastAsia="Times New Roman"/>
                <w:b/>
                <w:bCs/>
                <w:color w:val="000000"/>
                <w:lang w:eastAsia="pt-BR"/>
              </w:rPr>
              <w:t>4</w:t>
            </w:r>
            <w:r w:rsidR="006D52ED">
              <w:rPr>
                <w:rFonts w:eastAsia="Times New Roman"/>
                <w:b/>
                <w:bCs/>
                <w:color w:val="000000"/>
                <w:lang w:eastAsia="pt-BR"/>
              </w:rPr>
              <w:t>3</w:t>
            </w:r>
          </w:p>
        </w:tc>
      </w:tr>
    </w:tbl>
    <w:p w:rsidR="00532A60" w:rsidRDefault="00532A60" w:rsidP="003B5F38">
      <w:pPr>
        <w:spacing w:line="360" w:lineRule="auto"/>
        <w:jc w:val="both"/>
      </w:pPr>
    </w:p>
    <w:p w:rsidR="00532A60" w:rsidRDefault="00554DE9" w:rsidP="003B5F38">
      <w:pPr>
        <w:spacing w:line="360" w:lineRule="auto"/>
        <w:jc w:val="both"/>
      </w:pPr>
      <w:r>
        <w:t>Um ajuste adicional foi adotado para o cálculo</w:t>
      </w:r>
      <w:r w:rsidR="00923B1F">
        <w:t xml:space="preserve"> da tarifa</w:t>
      </w:r>
      <w:r w:rsidR="0073075E">
        <w:t>. Optamos por atualizar a</w:t>
      </w:r>
      <w:r>
        <w:t xml:space="preserve">s </w:t>
      </w:r>
      <w:r w:rsidR="005B5B9C">
        <w:t xml:space="preserve">despesas de CAPEX com base nas </w:t>
      </w:r>
      <w:r>
        <w:t>expectativas de inflação</w:t>
      </w:r>
      <w:r w:rsidR="0073075E">
        <w:t xml:space="preserve"> para o IPCA,</w:t>
      </w:r>
      <w:r w:rsidR="00923B1F">
        <w:t xml:space="preserve"> </w:t>
      </w:r>
      <w:r w:rsidR="005B5B9C">
        <w:t>d</w:t>
      </w:r>
      <w:r w:rsidR="00923B1F">
        <w:t xml:space="preserve">a pesquisa Focus do Banco Central do Brasil, </w:t>
      </w:r>
      <w:r w:rsidR="0073075E">
        <w:t>com data de referência em 30 de setembro de 2013</w:t>
      </w:r>
      <w:r w:rsidR="00923B1F">
        <w:t>.</w:t>
      </w:r>
    </w:p>
    <w:p w:rsidR="00782F3B" w:rsidRDefault="00B74F2E" w:rsidP="003B5F38">
      <w:pPr>
        <w:spacing w:line="360" w:lineRule="auto"/>
        <w:jc w:val="both"/>
      </w:pPr>
      <w:r>
        <w:t xml:space="preserve">O valor final calculado para o P0 </w:t>
      </w:r>
      <w:r w:rsidR="005B6C1A">
        <w:t xml:space="preserve">médio </w:t>
      </w:r>
      <w:r>
        <w:t xml:space="preserve">regulatório </w:t>
      </w:r>
      <w:r w:rsidR="00680CB0">
        <w:t>referente ao ano de 2014</w:t>
      </w:r>
      <w:r w:rsidR="005B6C1A" w:rsidRPr="005B6C1A">
        <w:t xml:space="preserve"> </w:t>
      </w:r>
      <w:r w:rsidR="005B6C1A">
        <w:t xml:space="preserve">é de R$ </w:t>
      </w:r>
      <w:r w:rsidR="00782F3B">
        <w:t>3,208</w:t>
      </w:r>
      <w:r w:rsidR="00680CB0">
        <w:t xml:space="preserve">, </w:t>
      </w:r>
      <w:r>
        <w:t xml:space="preserve">para o serviço de água, </w:t>
      </w:r>
      <w:r w:rsidR="00680CB0">
        <w:t xml:space="preserve">o </w:t>
      </w:r>
      <w:r>
        <w:t xml:space="preserve">que representa um reajuste de </w:t>
      </w:r>
      <w:r w:rsidR="00782F3B">
        <w:t>18,55</w:t>
      </w:r>
      <w:r>
        <w:t xml:space="preserve">%. As tarifas de esgoto seguem o mesmo padrão, à proporção de 80%. </w:t>
      </w:r>
    </w:p>
    <w:p w:rsidR="00782F3B" w:rsidRDefault="00782F3B" w:rsidP="003B5F38">
      <w:pPr>
        <w:spacing w:line="360" w:lineRule="auto"/>
        <w:jc w:val="both"/>
      </w:pPr>
      <w:r>
        <w:t xml:space="preserve">Deve ser considerada a inflação (IPCA) compreendida de janeiro a setembro (data de encerramento dos estudos) na ordem de 4,60896% e a projeção do Sistema </w:t>
      </w:r>
      <w:proofErr w:type="spellStart"/>
      <w:r>
        <w:t>Focus</w:t>
      </w:r>
      <w:proofErr w:type="spellEnd"/>
      <w:r>
        <w:t xml:space="preserve"> do Banco Central do Brasil para os meses de outubro a dezembro de 2014, na ordem de 1,74%, totalizando 24,89896</w:t>
      </w:r>
      <w:proofErr w:type="gramStart"/>
      <w:r>
        <w:t>%</w:t>
      </w:r>
      <w:proofErr w:type="gramEnd"/>
    </w:p>
    <w:p w:rsidR="00782F3B" w:rsidRDefault="00782F3B" w:rsidP="00782F3B">
      <w:pPr>
        <w:spacing w:line="360" w:lineRule="auto"/>
        <w:jc w:val="both"/>
      </w:pPr>
      <w:r>
        <w:t>Deve também ser descontado o percentual correspondente ao reajuste tarifário</w:t>
      </w:r>
      <w:proofErr w:type="gramStart"/>
      <w:r>
        <w:t xml:space="preserve">  </w:t>
      </w:r>
      <w:proofErr w:type="gramEnd"/>
      <w:r>
        <w:t xml:space="preserve">concedido </w:t>
      </w:r>
      <w:r w:rsidRPr="0016321E">
        <w:t>através da Resolução</w:t>
      </w:r>
      <w:r>
        <w:t xml:space="preserve"> ATR</w:t>
      </w:r>
      <w:r w:rsidRPr="0016321E">
        <w:t xml:space="preserve"> no. 089/2014</w:t>
      </w:r>
      <w:r>
        <w:t>, em abril de 2014</w:t>
      </w:r>
      <w:r w:rsidRPr="0016321E">
        <w:t xml:space="preserve">, </w:t>
      </w:r>
      <w:r>
        <w:t xml:space="preserve">na ordem </w:t>
      </w:r>
      <w:r w:rsidRPr="0016321E">
        <w:t>de 13,</w:t>
      </w:r>
      <w:r>
        <w:t xml:space="preserve">90%.  </w:t>
      </w:r>
    </w:p>
    <w:p w:rsidR="00782F3B" w:rsidRDefault="00782F3B" w:rsidP="00782F3B">
      <w:pPr>
        <w:spacing w:line="360" w:lineRule="auto"/>
        <w:jc w:val="both"/>
      </w:pPr>
      <w:r>
        <w:t>Neste sentido apuramos e recomendamos o alinhamento tarifário inicial referente ao modelo proposto na ordem de 10,99896</w:t>
      </w:r>
      <w:r w:rsidR="00B13DE1">
        <w:t xml:space="preserve"> para vigência no inicio no ano de 2015.</w:t>
      </w:r>
    </w:p>
    <w:p w:rsidR="00782F3B" w:rsidRDefault="00782F3B" w:rsidP="003B5F38">
      <w:pPr>
        <w:spacing w:line="360" w:lineRule="auto"/>
        <w:jc w:val="both"/>
      </w:pPr>
    </w:p>
    <w:p w:rsidR="00532A60" w:rsidRDefault="00532A60" w:rsidP="00532A60">
      <w:pPr>
        <w:pStyle w:val="Ttulo1"/>
        <w:numPr>
          <w:ilvl w:val="0"/>
          <w:numId w:val="15"/>
        </w:numPr>
        <w:spacing w:before="0" w:after="200" w:line="360" w:lineRule="auto"/>
        <w:ind w:left="357" w:hanging="357"/>
        <w:jc w:val="both"/>
      </w:pPr>
      <w:r>
        <w:t>Observações finais</w:t>
      </w:r>
    </w:p>
    <w:p w:rsidR="00FE78AF" w:rsidRDefault="00FE78AF" w:rsidP="00FE78AF">
      <w:pPr>
        <w:spacing w:line="360" w:lineRule="auto"/>
        <w:jc w:val="both"/>
      </w:pPr>
      <w:r>
        <w:t>Seguindo a Resolução 076/2.013, a ATR realizou análise detalhada dos documentos apresentados pel</w:t>
      </w:r>
      <w:r w:rsidR="0016321E">
        <w:t>a</w:t>
      </w:r>
      <w:r>
        <w:t xml:space="preserve"> concessionári</w:t>
      </w:r>
      <w:r w:rsidR="0016321E">
        <w:t>a</w:t>
      </w:r>
      <w:r>
        <w:t xml:space="preserve">, reagindo aos mesmos através da geração de seus próprios documentos técnicos (notas técnicas), conduzindo o processo em bases fundamentadas. Para a validação do conteúdo aqui apresentado, considera fundamental o envolvimento da sociedade. Com este objetivo, os </w:t>
      </w:r>
      <w:r>
        <w:lastRenderedPageBreak/>
        <w:t>estudos que foram elaborados pel</w:t>
      </w:r>
      <w:r w:rsidR="0016321E">
        <w:t>a</w:t>
      </w:r>
      <w:r>
        <w:t xml:space="preserve"> concessionári</w:t>
      </w:r>
      <w:r w:rsidR="0016321E">
        <w:t>a</w:t>
      </w:r>
      <w:r>
        <w:t xml:space="preserve"> e que são objeto da análise da ATR, juntamente com suas próprias análises regulatórias, serão colocados em processo de consulta pública, aberta à participação popular das diferentes regiões do Estado.</w:t>
      </w:r>
    </w:p>
    <w:p w:rsidR="00782F3B" w:rsidRDefault="00782F3B" w:rsidP="00FE78AF">
      <w:pPr>
        <w:spacing w:line="360" w:lineRule="auto"/>
        <w:jc w:val="both"/>
      </w:pPr>
    </w:p>
    <w:p w:rsidR="00782F3B" w:rsidRDefault="00782F3B" w:rsidP="00FE78AF">
      <w:pPr>
        <w:spacing w:line="360" w:lineRule="auto"/>
        <w:jc w:val="both"/>
      </w:pPr>
    </w:p>
    <w:p w:rsidR="00782F3B" w:rsidRDefault="00782F3B" w:rsidP="00FE78AF">
      <w:pPr>
        <w:spacing w:line="360" w:lineRule="auto"/>
        <w:jc w:val="both"/>
      </w:pPr>
    </w:p>
    <w:p w:rsidR="003B5F38" w:rsidRDefault="003B5F38" w:rsidP="003B5F38">
      <w:pPr>
        <w:pStyle w:val="Ttulo1"/>
        <w:numPr>
          <w:ilvl w:val="0"/>
          <w:numId w:val="15"/>
        </w:numPr>
        <w:spacing w:before="0" w:after="200" w:line="360" w:lineRule="auto"/>
        <w:ind w:left="357" w:hanging="357"/>
        <w:jc w:val="both"/>
      </w:pPr>
      <w:bookmarkStart w:id="17" w:name="_Toc377255008"/>
      <w:bookmarkStart w:id="18" w:name="_Toc378193745"/>
      <w:r>
        <w:t>Referências</w:t>
      </w:r>
      <w:bookmarkEnd w:id="17"/>
      <w:bookmarkEnd w:id="18"/>
    </w:p>
    <w:p w:rsidR="003B5F38" w:rsidRDefault="003B5F38" w:rsidP="003B5F38">
      <w:pPr>
        <w:spacing w:line="360" w:lineRule="auto"/>
        <w:ind w:left="709" w:hanging="709"/>
        <w:jc w:val="both"/>
      </w:pPr>
      <w:r>
        <w:t xml:space="preserve">ANJOS JR., Ary </w:t>
      </w:r>
      <w:proofErr w:type="spellStart"/>
      <w:r>
        <w:t>Haro</w:t>
      </w:r>
      <w:proofErr w:type="spellEnd"/>
      <w:r>
        <w:t>. Gestão Estratégica do Saneamento. São Paulo: Ed. Manole, 2011.</w:t>
      </w:r>
    </w:p>
    <w:p w:rsidR="003B5F38" w:rsidRDefault="003B5F38" w:rsidP="003B5F38">
      <w:pPr>
        <w:spacing w:line="360" w:lineRule="auto"/>
        <w:ind w:left="709" w:hanging="709"/>
        <w:jc w:val="both"/>
      </w:pPr>
      <w:r>
        <w:t>ARSESP – Agência Reguladora de Saneamento e Energia do Estado de São Paulo. Definição de Metodologia e Cálculo do Custo Médio Ponderado de Capital (WACC). 1ª Revisão Tarifária da SABESP. Nota Técnica No. RTS/01/2011. Março de 2011.</w:t>
      </w:r>
    </w:p>
    <w:p w:rsidR="003B5F38" w:rsidRPr="00DE1E84" w:rsidRDefault="003B5F38" w:rsidP="003B5F38">
      <w:pPr>
        <w:spacing w:line="360" w:lineRule="auto"/>
        <w:ind w:left="709" w:hanging="709"/>
        <w:jc w:val="both"/>
      </w:pPr>
      <w:r w:rsidRPr="008E7FEC">
        <w:t>ARSESP</w:t>
      </w:r>
      <w:r>
        <w:t xml:space="preserve"> – Agência Reguladora de Saneamento e Energia do Estado de São Paulo</w:t>
      </w:r>
      <w:r w:rsidRPr="008E7FEC">
        <w:t xml:space="preserve">. Metodologia Detalhada para o Processo de Revisão Tarifária da SABESP. </w:t>
      </w:r>
      <w:r>
        <w:t xml:space="preserve">1ª Revisão Tarifária da SABESP. </w:t>
      </w:r>
      <w:r w:rsidRPr="00DE1E84">
        <w:t>Nota Técnica nº RTS/01/2012.</w:t>
      </w:r>
    </w:p>
    <w:p w:rsidR="003B5F38" w:rsidRPr="00DE1E84" w:rsidRDefault="003B5F38" w:rsidP="003B5F38">
      <w:pPr>
        <w:spacing w:line="360" w:lineRule="auto"/>
        <w:ind w:left="709" w:hanging="709"/>
        <w:jc w:val="both"/>
      </w:pPr>
      <w:r w:rsidRPr="00B17E2E">
        <w:t xml:space="preserve">BERG, Stanford. </w:t>
      </w:r>
      <w:r w:rsidRPr="008E7FEC">
        <w:rPr>
          <w:lang w:val="en-US"/>
        </w:rPr>
        <w:t xml:space="preserve">Introduction to the Fundamentals of Incentive Regulation. </w:t>
      </w:r>
      <w:proofErr w:type="spellStart"/>
      <w:r w:rsidRPr="00DE1E84">
        <w:t>Public</w:t>
      </w:r>
      <w:proofErr w:type="spellEnd"/>
      <w:r w:rsidRPr="00DE1E84">
        <w:t xml:space="preserve"> </w:t>
      </w:r>
      <w:proofErr w:type="spellStart"/>
      <w:r w:rsidRPr="00DE1E84">
        <w:t>Utility</w:t>
      </w:r>
      <w:proofErr w:type="spellEnd"/>
      <w:r w:rsidRPr="00DE1E84">
        <w:t xml:space="preserve"> Research Center. </w:t>
      </w:r>
      <w:proofErr w:type="spellStart"/>
      <w:r w:rsidRPr="00DE1E84">
        <w:t>University</w:t>
      </w:r>
      <w:proofErr w:type="spellEnd"/>
      <w:r w:rsidRPr="00DE1E84">
        <w:t xml:space="preserve"> </w:t>
      </w:r>
      <w:proofErr w:type="spellStart"/>
      <w:r w:rsidRPr="00DE1E84">
        <w:t>of</w:t>
      </w:r>
      <w:proofErr w:type="spellEnd"/>
      <w:r w:rsidRPr="00DE1E84">
        <w:t xml:space="preserve"> Florida, 2000.</w:t>
      </w:r>
    </w:p>
    <w:p w:rsidR="003B5F38" w:rsidRDefault="003B5F38" w:rsidP="003B5F38">
      <w:pPr>
        <w:spacing w:line="360" w:lineRule="auto"/>
        <w:ind w:left="709" w:hanging="709"/>
        <w:jc w:val="both"/>
      </w:pPr>
      <w:r>
        <w:t>FOZ SANEATINS. Proposta de Modelagem Tarifária. Estudo Técnico 05 – Custo de Capital. Palmas, 2013.</w:t>
      </w:r>
    </w:p>
    <w:p w:rsidR="003B5F38" w:rsidRDefault="003B5F38" w:rsidP="003B5F38">
      <w:pPr>
        <w:spacing w:line="360" w:lineRule="auto"/>
        <w:ind w:left="709" w:hanging="709"/>
        <w:jc w:val="both"/>
      </w:pPr>
      <w:r w:rsidRPr="00C84134">
        <w:t xml:space="preserve">GALVÃO JUNIOR, Alceu de Castro. MELO, Alisson J. M. MONTEIRO, Mário A. P. </w:t>
      </w:r>
      <w:r w:rsidR="00BA04AD">
        <w:t>(</w:t>
      </w:r>
      <w:proofErr w:type="spellStart"/>
      <w:r w:rsidR="00BA04AD">
        <w:t>orgs</w:t>
      </w:r>
      <w:proofErr w:type="spellEnd"/>
      <w:r w:rsidR="00BA04AD">
        <w:t>)</w:t>
      </w:r>
      <w:r w:rsidRPr="00C84134">
        <w:t>. Regulação do Saneamento Básico. São Paulo: Ed. Manole, 2013.</w:t>
      </w:r>
    </w:p>
    <w:p w:rsidR="003B5F38" w:rsidRDefault="003B5F38" w:rsidP="003B5F38">
      <w:pPr>
        <w:spacing w:line="360" w:lineRule="auto"/>
        <w:ind w:left="709" w:hanging="709"/>
        <w:jc w:val="both"/>
      </w:pPr>
      <w:r>
        <w:t xml:space="preserve">MARQUES, Rui Cunha. Regulação de Serviços Públicos. Lisboa: Edições </w:t>
      </w:r>
      <w:proofErr w:type="spellStart"/>
      <w:r>
        <w:t>Sílabo</w:t>
      </w:r>
      <w:proofErr w:type="spellEnd"/>
      <w:r>
        <w:t>, 2005.</w:t>
      </w:r>
    </w:p>
    <w:p w:rsidR="003B5F38" w:rsidRDefault="003B5F38" w:rsidP="003B5F38">
      <w:pPr>
        <w:spacing w:line="360" w:lineRule="auto"/>
        <w:ind w:left="709" w:hanging="709"/>
        <w:jc w:val="both"/>
      </w:pPr>
      <w:r>
        <w:t xml:space="preserve">MELO, Bruno Aguiar Carrara. TUROLLA, Frederico A. Modelos de Regulação Tarifária e a Lei no. 11.445/2007. </w:t>
      </w:r>
      <w:r w:rsidRPr="00C84134">
        <w:t xml:space="preserve">In: </w:t>
      </w:r>
      <w:proofErr w:type="spellStart"/>
      <w:r w:rsidRPr="00C84134">
        <w:t>Philippi</w:t>
      </w:r>
      <w:proofErr w:type="spellEnd"/>
      <w:r w:rsidRPr="00C84134">
        <w:t xml:space="preserve"> Jr, Arlindo (</w:t>
      </w:r>
      <w:proofErr w:type="spellStart"/>
      <w:r w:rsidRPr="00C84134">
        <w:t>coord</w:t>
      </w:r>
      <w:proofErr w:type="spellEnd"/>
      <w:r w:rsidRPr="00C84134">
        <w:t xml:space="preserve">) Galvão Junior, Alceu de Castro. Melo, Alisson J. M. Monteiro, Mário A. P. </w:t>
      </w:r>
      <w:r w:rsidR="00BA04AD">
        <w:t>(</w:t>
      </w:r>
      <w:proofErr w:type="spellStart"/>
      <w:r w:rsidRPr="00C84134">
        <w:t>orgs</w:t>
      </w:r>
      <w:proofErr w:type="spellEnd"/>
      <w:r w:rsidRPr="00C84134">
        <w:t>). Regulação do Saneamento Básico. São Paulo: Ed. Manole, 2013.</w:t>
      </w:r>
    </w:p>
    <w:p w:rsidR="002713BC" w:rsidRDefault="003B5F38" w:rsidP="00680CB0">
      <w:pPr>
        <w:spacing w:line="360" w:lineRule="auto"/>
        <w:ind w:left="709" w:hanging="709"/>
        <w:jc w:val="both"/>
      </w:pPr>
      <w:r>
        <w:lastRenderedPageBreak/>
        <w:t xml:space="preserve">MOROSOLI, Carlos. HALABI, </w:t>
      </w:r>
      <w:proofErr w:type="spellStart"/>
      <w:r>
        <w:t>Damián</w:t>
      </w:r>
      <w:proofErr w:type="spellEnd"/>
      <w:r>
        <w:t xml:space="preserve">. GONÇALVES, Odair. Taxa de remuneração dos capitais aplicados nos serviços de abastecimento de água e esgotamento sanitário. In: </w:t>
      </w:r>
      <w:proofErr w:type="spellStart"/>
      <w:r>
        <w:t>Philippi</w:t>
      </w:r>
      <w:proofErr w:type="spellEnd"/>
      <w:r>
        <w:t xml:space="preserve"> Jr, Arlindo (</w:t>
      </w:r>
      <w:proofErr w:type="spellStart"/>
      <w:r>
        <w:t>coord</w:t>
      </w:r>
      <w:proofErr w:type="spellEnd"/>
      <w:r>
        <w:t xml:space="preserve">) Galvão Junior, Alceu de Castro. Melo, Alisson J. M. Monteiro, Mário A. P. </w:t>
      </w:r>
      <w:r w:rsidR="00BA04AD">
        <w:t>(</w:t>
      </w:r>
      <w:proofErr w:type="spellStart"/>
      <w:r>
        <w:t>orgs</w:t>
      </w:r>
      <w:proofErr w:type="spellEnd"/>
      <w:r>
        <w:t xml:space="preserve">). Regulação do Saneamento Básico. São Paulo: Ed. </w:t>
      </w:r>
      <w:proofErr w:type="spellStart"/>
      <w:r>
        <w:t>Manole</w:t>
      </w:r>
      <w:proofErr w:type="spellEnd"/>
      <w:r>
        <w:t>, 2013.</w:t>
      </w:r>
    </w:p>
    <w:p w:rsidR="00572D4A" w:rsidRDefault="00572D4A" w:rsidP="00680CB0">
      <w:pPr>
        <w:spacing w:line="360" w:lineRule="auto"/>
        <w:ind w:left="709" w:hanging="709"/>
        <w:jc w:val="both"/>
      </w:pPr>
    </w:p>
    <w:p w:rsidR="00572D4A" w:rsidRDefault="00572D4A" w:rsidP="00680CB0">
      <w:pPr>
        <w:spacing w:line="360" w:lineRule="auto"/>
        <w:ind w:left="709" w:hanging="709"/>
        <w:jc w:val="both"/>
      </w:pPr>
    </w:p>
    <w:p w:rsidR="00782F3B" w:rsidRDefault="00782F3B" w:rsidP="00680CB0">
      <w:pPr>
        <w:spacing w:line="360" w:lineRule="auto"/>
        <w:ind w:left="709" w:hanging="709"/>
        <w:jc w:val="both"/>
      </w:pPr>
    </w:p>
    <w:p w:rsidR="00572D4A" w:rsidRPr="00572D4A" w:rsidRDefault="00572D4A" w:rsidP="00680CB0">
      <w:pPr>
        <w:spacing w:line="360" w:lineRule="auto"/>
        <w:ind w:left="709" w:hanging="709"/>
        <w:jc w:val="both"/>
        <w:rPr>
          <w:b/>
        </w:rPr>
      </w:pPr>
      <w:r w:rsidRPr="00572D4A">
        <w:rPr>
          <w:b/>
        </w:rPr>
        <w:t xml:space="preserve">ANEXO </w:t>
      </w:r>
      <w:proofErr w:type="gramStart"/>
      <w:r w:rsidRPr="00572D4A">
        <w:rPr>
          <w:b/>
        </w:rPr>
        <w:t>1</w:t>
      </w:r>
      <w:proofErr w:type="gramEnd"/>
      <w:r w:rsidRPr="00572D4A">
        <w:rPr>
          <w:b/>
        </w:rPr>
        <w:t xml:space="preserve"> – PLANILHA DE CÁLCULO</w:t>
      </w:r>
      <w:r w:rsidR="00B13DE1">
        <w:rPr>
          <w:b/>
        </w:rPr>
        <w:t xml:space="preserve"> – Resumo da planilha 01 – Contém todos os cálculos em anexo.</w:t>
      </w:r>
    </w:p>
    <w:tbl>
      <w:tblPr>
        <w:tblW w:w="8313" w:type="dxa"/>
        <w:tblInd w:w="55" w:type="dxa"/>
        <w:tblCellMar>
          <w:left w:w="70" w:type="dxa"/>
          <w:right w:w="70" w:type="dxa"/>
        </w:tblCellMar>
        <w:tblLook w:val="04A0"/>
      </w:tblPr>
      <w:tblGrid>
        <w:gridCol w:w="3148"/>
        <w:gridCol w:w="1115"/>
        <w:gridCol w:w="841"/>
        <w:gridCol w:w="1781"/>
        <w:gridCol w:w="1428"/>
      </w:tblGrid>
      <w:tr w:rsidR="00572D4A" w:rsidRPr="00572D4A" w:rsidTr="00B13DE1">
        <w:trPr>
          <w:trHeight w:val="315"/>
        </w:trPr>
        <w:tc>
          <w:tcPr>
            <w:tcW w:w="3148" w:type="dxa"/>
            <w:tcBorders>
              <w:top w:val="single" w:sz="8" w:space="0" w:color="auto"/>
              <w:left w:val="single" w:sz="8" w:space="0" w:color="auto"/>
              <w:bottom w:val="single" w:sz="8" w:space="0" w:color="auto"/>
              <w:right w:val="nil"/>
            </w:tcBorders>
            <w:shd w:val="clear" w:color="000000" w:fill="FFFF99"/>
            <w:noWrap/>
            <w:vAlign w:val="bottom"/>
            <w:hideMark/>
          </w:tcPr>
          <w:p w:rsidR="00572D4A" w:rsidRPr="00572D4A" w:rsidRDefault="00572D4A" w:rsidP="00572D4A">
            <w:pPr>
              <w:spacing w:after="0" w:line="240" w:lineRule="auto"/>
              <w:rPr>
                <w:rFonts w:eastAsia="Times New Roman"/>
                <w:bCs/>
                <w:color w:val="000000"/>
                <w:lang w:eastAsia="pt-BR"/>
              </w:rPr>
            </w:pPr>
            <w:r w:rsidRPr="00572D4A">
              <w:rPr>
                <w:rFonts w:eastAsia="Times New Roman"/>
                <w:bCs/>
                <w:color w:val="000000"/>
                <w:lang w:eastAsia="pt-BR"/>
              </w:rPr>
              <w:t>WACC</w:t>
            </w:r>
          </w:p>
        </w:tc>
        <w:tc>
          <w:tcPr>
            <w:tcW w:w="1115" w:type="dxa"/>
            <w:tcBorders>
              <w:top w:val="single" w:sz="8" w:space="0" w:color="auto"/>
              <w:left w:val="nil"/>
              <w:bottom w:val="single" w:sz="8" w:space="0" w:color="auto"/>
              <w:right w:val="single" w:sz="8" w:space="0" w:color="auto"/>
            </w:tcBorders>
            <w:shd w:val="clear" w:color="000000" w:fill="FFFF99"/>
            <w:noWrap/>
            <w:vAlign w:val="bottom"/>
            <w:hideMark/>
          </w:tcPr>
          <w:p w:rsidR="00572D4A" w:rsidRPr="00572D4A" w:rsidRDefault="00572D4A" w:rsidP="00572D4A">
            <w:pPr>
              <w:spacing w:after="0" w:line="240" w:lineRule="auto"/>
              <w:jc w:val="right"/>
              <w:rPr>
                <w:rFonts w:eastAsia="Times New Roman"/>
                <w:bCs/>
                <w:color w:val="000000"/>
                <w:lang w:eastAsia="pt-BR"/>
              </w:rPr>
            </w:pPr>
            <w:r w:rsidRPr="00572D4A">
              <w:rPr>
                <w:rFonts w:eastAsia="Times New Roman"/>
                <w:bCs/>
                <w:color w:val="000000"/>
                <w:lang w:eastAsia="pt-BR"/>
              </w:rPr>
              <w:t>8,06%</w:t>
            </w:r>
          </w:p>
        </w:tc>
        <w:tc>
          <w:tcPr>
            <w:tcW w:w="841"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eastAsia="Times New Roman"/>
                <w:color w:val="000000"/>
                <w:lang w:eastAsia="pt-BR"/>
              </w:rPr>
            </w:pPr>
          </w:p>
        </w:tc>
        <w:tc>
          <w:tcPr>
            <w:tcW w:w="1781" w:type="dxa"/>
            <w:tcBorders>
              <w:top w:val="single" w:sz="8" w:space="0" w:color="auto"/>
              <w:left w:val="single" w:sz="8" w:space="0" w:color="auto"/>
              <w:bottom w:val="single" w:sz="8" w:space="0" w:color="auto"/>
              <w:right w:val="nil"/>
            </w:tcBorders>
            <w:shd w:val="clear" w:color="000000" w:fill="FFFF99"/>
            <w:noWrap/>
            <w:vAlign w:val="bottom"/>
            <w:hideMark/>
          </w:tcPr>
          <w:p w:rsidR="00572D4A" w:rsidRPr="00572D4A" w:rsidRDefault="00572D4A" w:rsidP="00572D4A">
            <w:pPr>
              <w:spacing w:after="0" w:line="240" w:lineRule="auto"/>
              <w:jc w:val="right"/>
              <w:rPr>
                <w:rFonts w:eastAsia="Times New Roman"/>
                <w:bCs/>
                <w:i/>
                <w:iCs/>
                <w:color w:val="000000"/>
                <w:lang w:eastAsia="pt-BR"/>
              </w:rPr>
            </w:pPr>
            <w:r w:rsidRPr="00572D4A">
              <w:rPr>
                <w:rFonts w:eastAsia="Times New Roman"/>
                <w:bCs/>
                <w:i/>
                <w:iCs/>
                <w:color w:val="000000"/>
                <w:lang w:eastAsia="pt-BR"/>
              </w:rPr>
              <w:t>Atingir meta</w:t>
            </w:r>
          </w:p>
        </w:tc>
        <w:tc>
          <w:tcPr>
            <w:tcW w:w="1428" w:type="dxa"/>
            <w:tcBorders>
              <w:top w:val="single" w:sz="8" w:space="0" w:color="auto"/>
              <w:left w:val="nil"/>
              <w:bottom w:val="single" w:sz="8" w:space="0" w:color="auto"/>
              <w:right w:val="single" w:sz="8" w:space="0" w:color="auto"/>
            </w:tcBorders>
            <w:shd w:val="clear" w:color="000000" w:fill="FFFF99"/>
            <w:noWrap/>
            <w:vAlign w:val="bottom"/>
            <w:hideMark/>
          </w:tcPr>
          <w:p w:rsidR="00572D4A" w:rsidRPr="00572D4A" w:rsidRDefault="00572D4A" w:rsidP="00572D4A">
            <w:pPr>
              <w:spacing w:after="0" w:line="240" w:lineRule="auto"/>
              <w:jc w:val="right"/>
              <w:rPr>
                <w:rFonts w:eastAsia="Times New Roman"/>
                <w:bCs/>
                <w:color w:val="000000"/>
                <w:lang w:eastAsia="pt-BR"/>
              </w:rPr>
            </w:pPr>
            <w:r w:rsidRPr="00572D4A">
              <w:rPr>
                <w:rFonts w:eastAsia="Times New Roman"/>
                <w:bCs/>
                <w:color w:val="000000"/>
                <w:lang w:eastAsia="pt-BR"/>
              </w:rPr>
              <w:t xml:space="preserve">                         -</w:t>
            </w:r>
            <w:proofErr w:type="gramStart"/>
            <w:r w:rsidRPr="00572D4A">
              <w:rPr>
                <w:rFonts w:eastAsia="Times New Roman"/>
                <w:bCs/>
                <w:color w:val="000000"/>
                <w:lang w:eastAsia="pt-BR"/>
              </w:rPr>
              <w:t xml:space="preserve">   </w:t>
            </w:r>
          </w:p>
        </w:tc>
        <w:proofErr w:type="gramEnd"/>
      </w:tr>
      <w:tr w:rsidR="00572D4A" w:rsidRPr="00572D4A" w:rsidTr="00B13DE1">
        <w:trPr>
          <w:trHeight w:val="105"/>
        </w:trPr>
        <w:tc>
          <w:tcPr>
            <w:tcW w:w="3148"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eastAsia="Times New Roman"/>
                <w:color w:val="000000"/>
                <w:lang w:eastAsia="pt-BR"/>
              </w:rPr>
            </w:pPr>
          </w:p>
        </w:tc>
        <w:tc>
          <w:tcPr>
            <w:tcW w:w="1115"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eastAsia="Times New Roman"/>
                <w:color w:val="000000"/>
                <w:lang w:eastAsia="pt-BR"/>
              </w:rPr>
            </w:pPr>
          </w:p>
        </w:tc>
        <w:tc>
          <w:tcPr>
            <w:tcW w:w="841"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eastAsia="Times New Roman"/>
                <w:color w:val="000000"/>
                <w:lang w:eastAsia="pt-BR"/>
              </w:rPr>
            </w:pPr>
          </w:p>
        </w:tc>
        <w:tc>
          <w:tcPr>
            <w:tcW w:w="1781"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eastAsia="Times New Roman"/>
                <w:color w:val="000000"/>
                <w:lang w:eastAsia="pt-BR"/>
              </w:rPr>
            </w:pPr>
          </w:p>
        </w:tc>
        <w:tc>
          <w:tcPr>
            <w:tcW w:w="1428"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eastAsia="Times New Roman"/>
                <w:color w:val="000000"/>
                <w:lang w:eastAsia="pt-BR"/>
              </w:rPr>
            </w:pPr>
          </w:p>
        </w:tc>
      </w:tr>
      <w:tr w:rsidR="00572D4A" w:rsidRPr="00572D4A" w:rsidTr="00B13DE1">
        <w:trPr>
          <w:trHeight w:val="570"/>
        </w:trPr>
        <w:tc>
          <w:tcPr>
            <w:tcW w:w="314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72D4A" w:rsidRPr="00572D4A" w:rsidRDefault="00572D4A" w:rsidP="00572D4A">
            <w:pPr>
              <w:spacing w:after="0" w:line="240" w:lineRule="auto"/>
              <w:rPr>
                <w:rFonts w:eastAsia="Times New Roman"/>
                <w:bCs/>
                <w:color w:val="000000"/>
                <w:lang w:eastAsia="pt-BR"/>
              </w:rPr>
            </w:pPr>
            <w:proofErr w:type="spellStart"/>
            <w:r w:rsidRPr="00572D4A">
              <w:rPr>
                <w:rFonts w:eastAsia="Times New Roman"/>
                <w:bCs/>
                <w:color w:val="000000"/>
                <w:lang w:eastAsia="pt-BR"/>
              </w:rPr>
              <w:t>Descricao</w:t>
            </w:r>
            <w:proofErr w:type="spellEnd"/>
          </w:p>
        </w:tc>
        <w:tc>
          <w:tcPr>
            <w:tcW w:w="1115" w:type="dxa"/>
            <w:tcBorders>
              <w:top w:val="single" w:sz="8" w:space="0" w:color="auto"/>
              <w:left w:val="nil"/>
              <w:bottom w:val="single" w:sz="8" w:space="0" w:color="auto"/>
              <w:right w:val="single" w:sz="4" w:space="0" w:color="auto"/>
            </w:tcBorders>
            <w:shd w:val="clear" w:color="auto" w:fill="auto"/>
            <w:noWrap/>
            <w:vAlign w:val="bottom"/>
            <w:hideMark/>
          </w:tcPr>
          <w:p w:rsidR="00572D4A" w:rsidRPr="00572D4A" w:rsidRDefault="00572D4A" w:rsidP="00572D4A">
            <w:pPr>
              <w:spacing w:after="0" w:line="240" w:lineRule="auto"/>
              <w:rPr>
                <w:rFonts w:eastAsia="Times New Roman"/>
                <w:bCs/>
                <w:color w:val="000000"/>
                <w:lang w:eastAsia="pt-BR"/>
              </w:rPr>
            </w:pPr>
            <w:r w:rsidRPr="00572D4A">
              <w:rPr>
                <w:rFonts w:eastAsia="Times New Roman"/>
                <w:bCs/>
                <w:color w:val="000000"/>
                <w:lang w:eastAsia="pt-BR"/>
              </w:rPr>
              <w:t> </w:t>
            </w:r>
          </w:p>
        </w:tc>
        <w:tc>
          <w:tcPr>
            <w:tcW w:w="841" w:type="dxa"/>
            <w:tcBorders>
              <w:top w:val="single" w:sz="8" w:space="0" w:color="auto"/>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rPr>
                <w:rFonts w:eastAsia="Times New Roman"/>
                <w:color w:val="000000"/>
                <w:lang w:eastAsia="pt-BR"/>
              </w:rPr>
            </w:pPr>
            <w:r w:rsidRPr="00572D4A">
              <w:rPr>
                <w:rFonts w:eastAsia="Times New Roman"/>
                <w:color w:val="000000"/>
                <w:lang w:eastAsia="pt-BR"/>
              </w:rPr>
              <w:t> </w:t>
            </w:r>
          </w:p>
        </w:tc>
        <w:tc>
          <w:tcPr>
            <w:tcW w:w="1781" w:type="dxa"/>
            <w:tcBorders>
              <w:top w:val="single" w:sz="8" w:space="0" w:color="auto"/>
              <w:left w:val="nil"/>
              <w:bottom w:val="single" w:sz="8" w:space="0" w:color="auto"/>
              <w:right w:val="nil"/>
            </w:tcBorders>
            <w:shd w:val="clear" w:color="auto" w:fill="auto"/>
            <w:noWrap/>
            <w:vAlign w:val="bottom"/>
            <w:hideMark/>
          </w:tcPr>
          <w:p w:rsidR="00572D4A" w:rsidRPr="00572D4A" w:rsidRDefault="00572D4A" w:rsidP="00572D4A">
            <w:pPr>
              <w:spacing w:after="0" w:line="240" w:lineRule="auto"/>
              <w:jc w:val="center"/>
              <w:rPr>
                <w:rFonts w:eastAsia="Times New Roman"/>
                <w:bCs/>
                <w:i/>
                <w:iCs/>
                <w:color w:val="000000"/>
                <w:lang w:eastAsia="pt-BR"/>
              </w:rPr>
            </w:pPr>
            <w:r w:rsidRPr="00572D4A">
              <w:rPr>
                <w:rFonts w:eastAsia="Times New Roman"/>
                <w:bCs/>
                <w:i/>
                <w:iCs/>
                <w:color w:val="000000"/>
                <w:lang w:eastAsia="pt-BR"/>
              </w:rPr>
              <w:t>VPL (2013)</w:t>
            </w:r>
          </w:p>
        </w:tc>
        <w:tc>
          <w:tcPr>
            <w:tcW w:w="142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72D4A" w:rsidRPr="00572D4A" w:rsidRDefault="00572D4A" w:rsidP="00572D4A">
            <w:pPr>
              <w:spacing w:after="0" w:line="240" w:lineRule="auto"/>
              <w:jc w:val="center"/>
              <w:rPr>
                <w:rFonts w:eastAsia="Times New Roman"/>
                <w:bCs/>
                <w:i/>
                <w:iCs/>
                <w:color w:val="000000"/>
                <w:lang w:eastAsia="pt-BR"/>
              </w:rPr>
            </w:pPr>
            <w:r w:rsidRPr="00572D4A">
              <w:rPr>
                <w:rFonts w:eastAsia="Times New Roman"/>
                <w:bCs/>
                <w:i/>
                <w:iCs/>
                <w:color w:val="000000"/>
                <w:lang w:eastAsia="pt-BR"/>
              </w:rPr>
              <w:t>2013</w:t>
            </w:r>
          </w:p>
        </w:tc>
      </w:tr>
      <w:tr w:rsidR="00572D4A" w:rsidRPr="00572D4A" w:rsidTr="00B13DE1">
        <w:trPr>
          <w:trHeight w:val="300"/>
        </w:trPr>
        <w:tc>
          <w:tcPr>
            <w:tcW w:w="3148" w:type="dxa"/>
            <w:tcBorders>
              <w:top w:val="nil"/>
              <w:left w:val="single" w:sz="8" w:space="0" w:color="auto"/>
              <w:bottom w:val="nil"/>
              <w:right w:val="single" w:sz="4" w:space="0" w:color="auto"/>
            </w:tcBorders>
            <w:shd w:val="clear" w:color="000000" w:fill="F2F2F2"/>
            <w:noWrap/>
            <w:vAlign w:val="bottom"/>
            <w:hideMark/>
          </w:tcPr>
          <w:p w:rsidR="00572D4A" w:rsidRPr="00572D4A" w:rsidRDefault="00572D4A" w:rsidP="00572D4A">
            <w:pPr>
              <w:spacing w:after="0" w:line="240" w:lineRule="auto"/>
              <w:rPr>
                <w:rFonts w:eastAsia="Times New Roman"/>
                <w:bCs/>
                <w:color w:val="000000"/>
                <w:lang w:eastAsia="pt-BR"/>
              </w:rPr>
            </w:pPr>
            <w:proofErr w:type="spellStart"/>
            <w:r w:rsidRPr="00572D4A">
              <w:rPr>
                <w:rFonts w:eastAsia="Times New Roman"/>
                <w:bCs/>
                <w:color w:val="000000"/>
                <w:lang w:eastAsia="pt-BR"/>
              </w:rPr>
              <w:t>Precos</w:t>
            </w:r>
            <w:proofErr w:type="spellEnd"/>
            <w:r w:rsidRPr="00572D4A">
              <w:rPr>
                <w:rFonts w:eastAsia="Times New Roman"/>
                <w:bCs/>
                <w:color w:val="000000"/>
                <w:lang w:eastAsia="pt-BR"/>
              </w:rPr>
              <w:t xml:space="preserve"> </w:t>
            </w:r>
            <w:proofErr w:type="spellStart"/>
            <w:r w:rsidRPr="00572D4A">
              <w:rPr>
                <w:rFonts w:eastAsia="Times New Roman"/>
                <w:bCs/>
                <w:color w:val="000000"/>
                <w:lang w:eastAsia="pt-BR"/>
              </w:rPr>
              <w:t>Medios</w:t>
            </w:r>
            <w:proofErr w:type="spellEnd"/>
          </w:p>
        </w:tc>
        <w:tc>
          <w:tcPr>
            <w:tcW w:w="1115" w:type="dxa"/>
            <w:tcBorders>
              <w:top w:val="nil"/>
              <w:left w:val="nil"/>
              <w:bottom w:val="nil"/>
              <w:right w:val="single" w:sz="4" w:space="0" w:color="auto"/>
            </w:tcBorders>
            <w:shd w:val="clear" w:color="000000" w:fill="F2F2F2"/>
            <w:noWrap/>
            <w:vAlign w:val="bottom"/>
            <w:hideMark/>
          </w:tcPr>
          <w:p w:rsidR="00572D4A" w:rsidRPr="00572D4A" w:rsidRDefault="00572D4A" w:rsidP="00572D4A">
            <w:pPr>
              <w:spacing w:after="0" w:line="240" w:lineRule="auto"/>
              <w:rPr>
                <w:rFonts w:eastAsia="Times New Roman"/>
                <w:bCs/>
                <w:color w:val="000000"/>
                <w:lang w:eastAsia="pt-BR"/>
              </w:rPr>
            </w:pPr>
            <w:r w:rsidRPr="00572D4A">
              <w:rPr>
                <w:rFonts w:eastAsia="Times New Roman"/>
                <w:bCs/>
                <w:color w:val="000000"/>
                <w:lang w:eastAsia="pt-BR"/>
              </w:rPr>
              <w:t> </w:t>
            </w:r>
          </w:p>
        </w:tc>
        <w:tc>
          <w:tcPr>
            <w:tcW w:w="841" w:type="dxa"/>
            <w:tcBorders>
              <w:top w:val="nil"/>
              <w:left w:val="nil"/>
              <w:bottom w:val="nil"/>
              <w:right w:val="single" w:sz="8" w:space="0" w:color="auto"/>
            </w:tcBorders>
            <w:shd w:val="clear" w:color="000000" w:fill="F2F2F2"/>
            <w:noWrap/>
            <w:vAlign w:val="bottom"/>
            <w:hideMark/>
          </w:tcPr>
          <w:p w:rsidR="00572D4A" w:rsidRPr="00572D4A" w:rsidRDefault="00572D4A" w:rsidP="00572D4A">
            <w:pPr>
              <w:spacing w:after="0" w:line="240" w:lineRule="auto"/>
              <w:jc w:val="center"/>
              <w:rPr>
                <w:rFonts w:eastAsia="Times New Roman"/>
                <w:bCs/>
                <w:color w:val="000000"/>
                <w:lang w:eastAsia="pt-BR"/>
              </w:rPr>
            </w:pPr>
            <w:r w:rsidRPr="00572D4A">
              <w:rPr>
                <w:rFonts w:eastAsia="Times New Roman"/>
                <w:bCs/>
                <w:color w:val="000000"/>
                <w:lang w:eastAsia="pt-BR"/>
              </w:rPr>
              <w:t> </w:t>
            </w:r>
          </w:p>
        </w:tc>
        <w:tc>
          <w:tcPr>
            <w:tcW w:w="1781" w:type="dxa"/>
            <w:tcBorders>
              <w:top w:val="nil"/>
              <w:left w:val="nil"/>
              <w:bottom w:val="nil"/>
              <w:right w:val="nil"/>
            </w:tcBorders>
            <w:shd w:val="clear" w:color="000000" w:fill="F2F2F2"/>
            <w:noWrap/>
            <w:vAlign w:val="bottom"/>
            <w:hideMark/>
          </w:tcPr>
          <w:p w:rsidR="00572D4A" w:rsidRPr="00572D4A" w:rsidRDefault="00572D4A" w:rsidP="00572D4A">
            <w:pPr>
              <w:spacing w:after="0" w:line="240" w:lineRule="auto"/>
              <w:rPr>
                <w:rFonts w:eastAsia="Times New Roman"/>
                <w:bCs/>
                <w:color w:val="000000"/>
                <w:lang w:eastAsia="pt-BR"/>
              </w:rPr>
            </w:pPr>
            <w:r w:rsidRPr="00572D4A">
              <w:rPr>
                <w:rFonts w:eastAsia="Times New Roman"/>
                <w:bCs/>
                <w:color w:val="000000"/>
                <w:lang w:eastAsia="pt-BR"/>
              </w:rPr>
              <w:t> </w:t>
            </w:r>
          </w:p>
        </w:tc>
        <w:tc>
          <w:tcPr>
            <w:tcW w:w="1428" w:type="dxa"/>
            <w:tcBorders>
              <w:top w:val="nil"/>
              <w:left w:val="single" w:sz="8" w:space="0" w:color="auto"/>
              <w:bottom w:val="nil"/>
              <w:right w:val="single" w:sz="4" w:space="0" w:color="auto"/>
            </w:tcBorders>
            <w:shd w:val="clear" w:color="000000" w:fill="F2F2F2"/>
            <w:noWrap/>
            <w:vAlign w:val="bottom"/>
            <w:hideMark/>
          </w:tcPr>
          <w:p w:rsidR="00572D4A" w:rsidRPr="00572D4A" w:rsidRDefault="00572D4A" w:rsidP="00572D4A">
            <w:pPr>
              <w:spacing w:after="0" w:line="240" w:lineRule="auto"/>
              <w:rPr>
                <w:rFonts w:eastAsia="Times New Roman"/>
                <w:bCs/>
                <w:color w:val="000000"/>
                <w:lang w:eastAsia="pt-BR"/>
              </w:rPr>
            </w:pPr>
            <w:r w:rsidRPr="00572D4A">
              <w:rPr>
                <w:rFonts w:eastAsia="Times New Roman"/>
                <w:bCs/>
                <w:color w:val="000000"/>
                <w:lang w:eastAsia="pt-BR"/>
              </w:rPr>
              <w:t> </w:t>
            </w:r>
          </w:p>
        </w:tc>
      </w:tr>
      <w:tr w:rsidR="00572D4A" w:rsidRPr="00572D4A" w:rsidTr="00B13DE1">
        <w:trPr>
          <w:trHeight w:val="300"/>
        </w:trPr>
        <w:tc>
          <w:tcPr>
            <w:tcW w:w="3148" w:type="dxa"/>
            <w:tcBorders>
              <w:top w:val="nil"/>
              <w:left w:val="single" w:sz="8" w:space="0" w:color="auto"/>
              <w:bottom w:val="nil"/>
              <w:right w:val="single" w:sz="4" w:space="0" w:color="auto"/>
            </w:tcBorders>
            <w:shd w:val="clear" w:color="auto" w:fill="auto"/>
            <w:noWrap/>
            <w:vAlign w:val="bottom"/>
            <w:hideMark/>
          </w:tcPr>
          <w:p w:rsidR="00572D4A" w:rsidRPr="00572D4A" w:rsidRDefault="00572D4A" w:rsidP="00572D4A">
            <w:pPr>
              <w:spacing w:after="0" w:line="240" w:lineRule="auto"/>
              <w:ind w:firstLineChars="100" w:firstLine="220"/>
              <w:rPr>
                <w:rFonts w:eastAsia="Times New Roman"/>
                <w:color w:val="000000"/>
                <w:lang w:eastAsia="pt-BR"/>
              </w:rPr>
            </w:pPr>
            <w:r w:rsidRPr="00572D4A">
              <w:rPr>
                <w:rFonts w:eastAsia="Times New Roman"/>
                <w:color w:val="000000"/>
                <w:lang w:eastAsia="pt-BR"/>
              </w:rPr>
              <w:t xml:space="preserve">PO </w:t>
            </w:r>
            <w:proofErr w:type="spellStart"/>
            <w:r w:rsidRPr="00572D4A">
              <w:rPr>
                <w:rFonts w:eastAsia="Times New Roman"/>
                <w:color w:val="000000"/>
                <w:lang w:eastAsia="pt-BR"/>
              </w:rPr>
              <w:t>Agua</w:t>
            </w:r>
            <w:proofErr w:type="spellEnd"/>
          </w:p>
        </w:tc>
        <w:tc>
          <w:tcPr>
            <w:tcW w:w="1115" w:type="dxa"/>
            <w:tcBorders>
              <w:top w:val="nil"/>
              <w:left w:val="nil"/>
              <w:bottom w:val="nil"/>
              <w:right w:val="single" w:sz="4" w:space="0" w:color="auto"/>
            </w:tcBorders>
            <w:shd w:val="clear" w:color="000000" w:fill="FFFF99"/>
            <w:noWrap/>
            <w:vAlign w:val="bottom"/>
            <w:hideMark/>
          </w:tcPr>
          <w:p w:rsidR="00572D4A" w:rsidRPr="00572D4A" w:rsidRDefault="00572D4A" w:rsidP="00572D4A">
            <w:pPr>
              <w:spacing w:after="0" w:line="240" w:lineRule="auto"/>
              <w:ind w:firstLineChars="100" w:firstLine="220"/>
              <w:rPr>
                <w:rFonts w:eastAsia="Times New Roman"/>
                <w:bCs/>
                <w:i/>
                <w:iCs/>
                <w:color w:val="0000FF"/>
                <w:lang w:eastAsia="pt-BR"/>
              </w:rPr>
            </w:pPr>
            <w:r w:rsidRPr="00572D4A">
              <w:rPr>
                <w:rFonts w:eastAsia="Times New Roman"/>
                <w:bCs/>
                <w:i/>
                <w:iCs/>
                <w:color w:val="0000FF"/>
                <w:lang w:eastAsia="pt-BR"/>
              </w:rPr>
              <w:t>18,55%</w:t>
            </w:r>
          </w:p>
        </w:tc>
        <w:tc>
          <w:tcPr>
            <w:tcW w:w="841" w:type="dxa"/>
            <w:tcBorders>
              <w:top w:val="nil"/>
              <w:left w:val="nil"/>
              <w:bottom w:val="nil"/>
              <w:right w:val="single" w:sz="8" w:space="0" w:color="auto"/>
            </w:tcBorders>
            <w:shd w:val="clear" w:color="auto" w:fill="auto"/>
            <w:noWrap/>
            <w:vAlign w:val="bottom"/>
            <w:hideMark/>
          </w:tcPr>
          <w:p w:rsidR="00572D4A" w:rsidRPr="00572D4A" w:rsidRDefault="00572D4A" w:rsidP="00572D4A">
            <w:pPr>
              <w:spacing w:after="0" w:line="240" w:lineRule="auto"/>
              <w:jc w:val="center"/>
              <w:rPr>
                <w:rFonts w:eastAsia="Times New Roman"/>
                <w:color w:val="000000"/>
                <w:lang w:eastAsia="pt-BR"/>
              </w:rPr>
            </w:pPr>
            <w:r w:rsidRPr="00572D4A">
              <w:rPr>
                <w:rFonts w:eastAsia="Times New Roman"/>
                <w:color w:val="000000"/>
                <w:lang w:eastAsia="pt-BR"/>
              </w:rPr>
              <w:t>POA</w:t>
            </w:r>
          </w:p>
        </w:tc>
        <w:tc>
          <w:tcPr>
            <w:tcW w:w="1781"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ind w:firstLineChars="100" w:firstLine="220"/>
              <w:rPr>
                <w:rFonts w:eastAsia="Times New Roman"/>
                <w:bCs/>
                <w:color w:val="000000"/>
                <w:lang w:eastAsia="pt-BR"/>
              </w:rPr>
            </w:pPr>
          </w:p>
        </w:tc>
        <w:tc>
          <w:tcPr>
            <w:tcW w:w="1428" w:type="dxa"/>
            <w:tcBorders>
              <w:top w:val="nil"/>
              <w:left w:val="single" w:sz="8" w:space="0" w:color="auto"/>
              <w:bottom w:val="nil"/>
              <w:right w:val="single" w:sz="4" w:space="0" w:color="auto"/>
            </w:tcBorders>
            <w:shd w:val="clear" w:color="000000" w:fill="FFFF00"/>
            <w:noWrap/>
            <w:vAlign w:val="bottom"/>
            <w:hideMark/>
          </w:tcPr>
          <w:p w:rsidR="00572D4A" w:rsidRPr="00572D4A" w:rsidRDefault="00572D4A" w:rsidP="00572D4A">
            <w:pPr>
              <w:spacing w:after="0" w:line="240" w:lineRule="auto"/>
              <w:ind w:firstLineChars="100" w:firstLine="220"/>
              <w:rPr>
                <w:rFonts w:eastAsia="Times New Roman"/>
                <w:bCs/>
                <w:color w:val="000000"/>
                <w:lang w:eastAsia="pt-BR"/>
              </w:rPr>
            </w:pPr>
            <w:r w:rsidRPr="00572D4A">
              <w:rPr>
                <w:rFonts w:eastAsia="Times New Roman"/>
                <w:bCs/>
                <w:color w:val="000000"/>
                <w:lang w:eastAsia="pt-BR"/>
              </w:rPr>
              <w:t xml:space="preserve"> R$         3,208 </w:t>
            </w:r>
          </w:p>
        </w:tc>
      </w:tr>
      <w:tr w:rsidR="00572D4A" w:rsidRPr="00572D4A" w:rsidTr="00B13DE1">
        <w:trPr>
          <w:trHeight w:val="300"/>
        </w:trPr>
        <w:tc>
          <w:tcPr>
            <w:tcW w:w="3148" w:type="dxa"/>
            <w:tcBorders>
              <w:top w:val="nil"/>
              <w:left w:val="single" w:sz="8" w:space="0" w:color="auto"/>
              <w:bottom w:val="single" w:sz="4" w:space="0" w:color="auto"/>
              <w:right w:val="single" w:sz="4" w:space="0" w:color="auto"/>
            </w:tcBorders>
            <w:shd w:val="clear" w:color="auto" w:fill="auto"/>
            <w:noWrap/>
            <w:vAlign w:val="bottom"/>
            <w:hideMark/>
          </w:tcPr>
          <w:p w:rsidR="00572D4A" w:rsidRPr="00572D4A" w:rsidRDefault="00572D4A" w:rsidP="00572D4A">
            <w:pPr>
              <w:spacing w:after="0" w:line="240" w:lineRule="auto"/>
              <w:ind w:firstLineChars="100" w:firstLine="220"/>
              <w:rPr>
                <w:rFonts w:eastAsia="Times New Roman"/>
                <w:color w:val="000000"/>
                <w:lang w:eastAsia="pt-BR"/>
              </w:rPr>
            </w:pPr>
            <w:r w:rsidRPr="00572D4A">
              <w:rPr>
                <w:rFonts w:eastAsia="Times New Roman"/>
                <w:color w:val="000000"/>
                <w:lang w:eastAsia="pt-BR"/>
              </w:rPr>
              <w:t>PO Esgoto</w:t>
            </w:r>
          </w:p>
        </w:tc>
        <w:tc>
          <w:tcPr>
            <w:tcW w:w="1115" w:type="dxa"/>
            <w:tcBorders>
              <w:top w:val="nil"/>
              <w:left w:val="nil"/>
              <w:bottom w:val="single" w:sz="4" w:space="0" w:color="auto"/>
              <w:right w:val="single" w:sz="4" w:space="0" w:color="auto"/>
            </w:tcBorders>
            <w:shd w:val="clear" w:color="auto" w:fill="auto"/>
            <w:noWrap/>
            <w:vAlign w:val="bottom"/>
            <w:hideMark/>
          </w:tcPr>
          <w:p w:rsidR="00572D4A" w:rsidRPr="00572D4A" w:rsidRDefault="00572D4A" w:rsidP="00572D4A">
            <w:pPr>
              <w:spacing w:after="0" w:line="240" w:lineRule="auto"/>
              <w:ind w:firstLineChars="100" w:firstLine="220"/>
              <w:rPr>
                <w:rFonts w:eastAsia="Times New Roman"/>
                <w:bCs/>
                <w:i/>
                <w:iCs/>
                <w:color w:val="000000"/>
                <w:lang w:eastAsia="pt-BR"/>
              </w:rPr>
            </w:pPr>
            <w:r w:rsidRPr="00572D4A">
              <w:rPr>
                <w:rFonts w:eastAsia="Times New Roman"/>
                <w:bCs/>
                <w:i/>
                <w:iCs/>
                <w:color w:val="000000"/>
                <w:lang w:eastAsia="pt-BR"/>
              </w:rPr>
              <w:t>80,0%</w:t>
            </w:r>
          </w:p>
        </w:tc>
        <w:tc>
          <w:tcPr>
            <w:tcW w:w="841" w:type="dxa"/>
            <w:tcBorders>
              <w:top w:val="nil"/>
              <w:left w:val="nil"/>
              <w:bottom w:val="single" w:sz="4" w:space="0" w:color="auto"/>
              <w:right w:val="single" w:sz="8" w:space="0" w:color="auto"/>
            </w:tcBorders>
            <w:shd w:val="clear" w:color="auto" w:fill="auto"/>
            <w:noWrap/>
            <w:vAlign w:val="bottom"/>
            <w:hideMark/>
          </w:tcPr>
          <w:p w:rsidR="00572D4A" w:rsidRPr="00572D4A" w:rsidRDefault="00572D4A" w:rsidP="00572D4A">
            <w:pPr>
              <w:spacing w:after="0" w:line="240" w:lineRule="auto"/>
              <w:jc w:val="center"/>
              <w:rPr>
                <w:rFonts w:eastAsia="Times New Roman"/>
                <w:color w:val="000000"/>
                <w:lang w:eastAsia="pt-BR"/>
              </w:rPr>
            </w:pPr>
            <w:r w:rsidRPr="00572D4A">
              <w:rPr>
                <w:rFonts w:eastAsia="Times New Roman"/>
                <w:color w:val="000000"/>
                <w:lang w:eastAsia="pt-BR"/>
              </w:rPr>
              <w:t>POE</w:t>
            </w:r>
          </w:p>
        </w:tc>
        <w:tc>
          <w:tcPr>
            <w:tcW w:w="1781" w:type="dxa"/>
            <w:tcBorders>
              <w:top w:val="nil"/>
              <w:left w:val="nil"/>
              <w:bottom w:val="single" w:sz="4" w:space="0" w:color="auto"/>
              <w:right w:val="nil"/>
            </w:tcBorders>
            <w:shd w:val="clear" w:color="auto" w:fill="auto"/>
            <w:noWrap/>
            <w:vAlign w:val="bottom"/>
            <w:hideMark/>
          </w:tcPr>
          <w:p w:rsidR="00572D4A" w:rsidRPr="00572D4A" w:rsidRDefault="00572D4A" w:rsidP="00572D4A">
            <w:pPr>
              <w:spacing w:after="0" w:line="240" w:lineRule="auto"/>
              <w:ind w:firstLineChars="100" w:firstLine="220"/>
              <w:rPr>
                <w:rFonts w:eastAsia="Times New Roman"/>
                <w:color w:val="000000"/>
                <w:lang w:eastAsia="pt-BR"/>
              </w:rPr>
            </w:pPr>
            <w:r w:rsidRPr="00572D4A">
              <w:rPr>
                <w:rFonts w:eastAsia="Times New Roman"/>
                <w:color w:val="000000"/>
                <w:lang w:eastAsia="pt-BR"/>
              </w:rPr>
              <w:t> </w:t>
            </w:r>
          </w:p>
        </w:tc>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572D4A" w:rsidRPr="00572D4A" w:rsidRDefault="00572D4A" w:rsidP="00572D4A">
            <w:pPr>
              <w:spacing w:after="0" w:line="240" w:lineRule="auto"/>
              <w:ind w:firstLineChars="100" w:firstLine="220"/>
              <w:rPr>
                <w:rFonts w:eastAsia="Times New Roman"/>
                <w:color w:val="000000"/>
                <w:lang w:eastAsia="pt-BR"/>
              </w:rPr>
            </w:pPr>
            <w:r w:rsidRPr="00572D4A">
              <w:rPr>
                <w:rFonts w:eastAsia="Times New Roman"/>
                <w:color w:val="000000"/>
                <w:lang w:eastAsia="pt-BR"/>
              </w:rPr>
              <w:t xml:space="preserve"> R$         2,567 </w:t>
            </w:r>
          </w:p>
        </w:tc>
      </w:tr>
      <w:tr w:rsidR="00572D4A" w:rsidRPr="00572D4A" w:rsidTr="00B13DE1">
        <w:trPr>
          <w:trHeight w:val="300"/>
        </w:trPr>
        <w:tc>
          <w:tcPr>
            <w:tcW w:w="3148" w:type="dxa"/>
            <w:tcBorders>
              <w:top w:val="nil"/>
              <w:left w:val="single" w:sz="8" w:space="0" w:color="auto"/>
              <w:bottom w:val="nil"/>
              <w:right w:val="single" w:sz="4" w:space="0" w:color="auto"/>
            </w:tcBorders>
            <w:shd w:val="clear" w:color="000000" w:fill="F2F2F2"/>
            <w:noWrap/>
            <w:vAlign w:val="bottom"/>
            <w:hideMark/>
          </w:tcPr>
          <w:p w:rsidR="00572D4A" w:rsidRPr="00572D4A" w:rsidRDefault="00572D4A" w:rsidP="00572D4A">
            <w:pPr>
              <w:spacing w:after="0" w:line="240" w:lineRule="auto"/>
              <w:rPr>
                <w:rFonts w:eastAsia="Times New Roman"/>
                <w:bCs/>
                <w:color w:val="000000"/>
                <w:lang w:eastAsia="pt-BR"/>
              </w:rPr>
            </w:pPr>
            <w:r w:rsidRPr="00572D4A">
              <w:rPr>
                <w:rFonts w:eastAsia="Times New Roman"/>
                <w:bCs/>
                <w:color w:val="000000"/>
                <w:lang w:eastAsia="pt-BR"/>
              </w:rPr>
              <w:t>Volumes Faturados</w:t>
            </w:r>
          </w:p>
        </w:tc>
        <w:tc>
          <w:tcPr>
            <w:tcW w:w="1115" w:type="dxa"/>
            <w:tcBorders>
              <w:top w:val="nil"/>
              <w:left w:val="nil"/>
              <w:bottom w:val="nil"/>
              <w:right w:val="single" w:sz="4" w:space="0" w:color="auto"/>
            </w:tcBorders>
            <w:shd w:val="clear" w:color="000000" w:fill="F2F2F2"/>
            <w:noWrap/>
            <w:vAlign w:val="bottom"/>
            <w:hideMark/>
          </w:tcPr>
          <w:p w:rsidR="00572D4A" w:rsidRPr="00572D4A" w:rsidRDefault="00572D4A" w:rsidP="00572D4A">
            <w:pPr>
              <w:spacing w:after="0" w:line="240" w:lineRule="auto"/>
              <w:rPr>
                <w:rFonts w:eastAsia="Times New Roman"/>
                <w:bCs/>
                <w:color w:val="000000"/>
                <w:lang w:eastAsia="pt-BR"/>
              </w:rPr>
            </w:pPr>
            <w:r w:rsidRPr="00572D4A">
              <w:rPr>
                <w:rFonts w:eastAsia="Times New Roman"/>
                <w:bCs/>
                <w:color w:val="000000"/>
                <w:lang w:eastAsia="pt-BR"/>
              </w:rPr>
              <w:t> </w:t>
            </w:r>
          </w:p>
        </w:tc>
        <w:tc>
          <w:tcPr>
            <w:tcW w:w="841" w:type="dxa"/>
            <w:tcBorders>
              <w:top w:val="nil"/>
              <w:left w:val="nil"/>
              <w:bottom w:val="nil"/>
              <w:right w:val="single" w:sz="8" w:space="0" w:color="auto"/>
            </w:tcBorders>
            <w:shd w:val="clear" w:color="000000" w:fill="F2F2F2"/>
            <w:noWrap/>
            <w:vAlign w:val="bottom"/>
            <w:hideMark/>
          </w:tcPr>
          <w:p w:rsidR="00572D4A" w:rsidRPr="00572D4A" w:rsidRDefault="00572D4A" w:rsidP="00572D4A">
            <w:pPr>
              <w:spacing w:after="0" w:line="240" w:lineRule="auto"/>
              <w:jc w:val="center"/>
              <w:rPr>
                <w:rFonts w:eastAsia="Times New Roman"/>
                <w:bCs/>
                <w:color w:val="000000"/>
                <w:lang w:eastAsia="pt-BR"/>
              </w:rPr>
            </w:pPr>
            <w:r w:rsidRPr="00572D4A">
              <w:rPr>
                <w:rFonts w:eastAsia="Times New Roman"/>
                <w:bCs/>
                <w:color w:val="000000"/>
                <w:lang w:eastAsia="pt-BR"/>
              </w:rPr>
              <w:t> </w:t>
            </w:r>
          </w:p>
        </w:tc>
        <w:tc>
          <w:tcPr>
            <w:tcW w:w="1781" w:type="dxa"/>
            <w:tcBorders>
              <w:top w:val="single" w:sz="4" w:space="0" w:color="auto"/>
              <w:left w:val="nil"/>
              <w:bottom w:val="nil"/>
              <w:right w:val="nil"/>
            </w:tcBorders>
            <w:shd w:val="clear" w:color="000000" w:fill="F2F2F2"/>
            <w:noWrap/>
            <w:vAlign w:val="bottom"/>
            <w:hideMark/>
          </w:tcPr>
          <w:p w:rsidR="00572D4A" w:rsidRPr="00572D4A" w:rsidRDefault="00572D4A" w:rsidP="00572D4A">
            <w:pPr>
              <w:spacing w:after="0" w:line="240" w:lineRule="auto"/>
              <w:rPr>
                <w:rFonts w:eastAsia="Times New Roman"/>
                <w:bCs/>
                <w:color w:val="000000"/>
                <w:lang w:eastAsia="pt-BR"/>
              </w:rPr>
            </w:pPr>
            <w:r w:rsidRPr="00572D4A">
              <w:rPr>
                <w:rFonts w:eastAsia="Times New Roman"/>
                <w:bCs/>
                <w:color w:val="000000"/>
                <w:lang w:eastAsia="pt-BR"/>
              </w:rPr>
              <w:t> </w:t>
            </w:r>
          </w:p>
        </w:tc>
        <w:tc>
          <w:tcPr>
            <w:tcW w:w="1428" w:type="dxa"/>
            <w:tcBorders>
              <w:top w:val="nil"/>
              <w:left w:val="single" w:sz="8" w:space="0" w:color="auto"/>
              <w:bottom w:val="nil"/>
              <w:right w:val="single" w:sz="4" w:space="0" w:color="auto"/>
            </w:tcBorders>
            <w:shd w:val="clear" w:color="000000" w:fill="F2F2F2"/>
            <w:noWrap/>
            <w:vAlign w:val="bottom"/>
            <w:hideMark/>
          </w:tcPr>
          <w:p w:rsidR="00572D4A" w:rsidRPr="00572D4A" w:rsidRDefault="00572D4A" w:rsidP="00572D4A">
            <w:pPr>
              <w:spacing w:after="0" w:line="240" w:lineRule="auto"/>
              <w:rPr>
                <w:rFonts w:eastAsia="Times New Roman"/>
                <w:bCs/>
                <w:color w:val="000000"/>
                <w:lang w:eastAsia="pt-BR"/>
              </w:rPr>
            </w:pPr>
            <w:r w:rsidRPr="00572D4A">
              <w:rPr>
                <w:rFonts w:eastAsia="Times New Roman"/>
                <w:bCs/>
                <w:color w:val="000000"/>
                <w:lang w:eastAsia="pt-BR"/>
              </w:rPr>
              <w:t> </w:t>
            </w:r>
          </w:p>
        </w:tc>
      </w:tr>
      <w:tr w:rsidR="00572D4A" w:rsidRPr="00572D4A" w:rsidTr="00B13DE1">
        <w:trPr>
          <w:trHeight w:val="300"/>
        </w:trPr>
        <w:tc>
          <w:tcPr>
            <w:tcW w:w="3148" w:type="dxa"/>
            <w:tcBorders>
              <w:top w:val="nil"/>
              <w:left w:val="single" w:sz="8" w:space="0" w:color="auto"/>
              <w:bottom w:val="nil"/>
              <w:right w:val="single" w:sz="4" w:space="0" w:color="auto"/>
            </w:tcBorders>
            <w:shd w:val="clear" w:color="auto" w:fill="auto"/>
            <w:noWrap/>
            <w:vAlign w:val="bottom"/>
            <w:hideMark/>
          </w:tcPr>
          <w:p w:rsidR="00572D4A" w:rsidRPr="00572D4A" w:rsidRDefault="00572D4A" w:rsidP="00572D4A">
            <w:pPr>
              <w:spacing w:after="0" w:line="240" w:lineRule="auto"/>
              <w:ind w:firstLineChars="100" w:firstLine="220"/>
              <w:rPr>
                <w:rFonts w:eastAsia="Times New Roman"/>
                <w:color w:val="000000"/>
                <w:lang w:eastAsia="pt-BR"/>
              </w:rPr>
            </w:pPr>
            <w:proofErr w:type="spellStart"/>
            <w:r w:rsidRPr="00572D4A">
              <w:rPr>
                <w:rFonts w:eastAsia="Times New Roman"/>
                <w:color w:val="000000"/>
                <w:lang w:eastAsia="pt-BR"/>
              </w:rPr>
              <w:t>Vol</w:t>
            </w:r>
            <w:proofErr w:type="spellEnd"/>
            <w:r w:rsidRPr="00572D4A">
              <w:rPr>
                <w:rFonts w:eastAsia="Times New Roman"/>
                <w:color w:val="000000"/>
                <w:lang w:eastAsia="pt-BR"/>
              </w:rPr>
              <w:t xml:space="preserve"> Faturado </w:t>
            </w:r>
            <w:proofErr w:type="spellStart"/>
            <w:r w:rsidRPr="00572D4A">
              <w:rPr>
                <w:rFonts w:eastAsia="Times New Roman"/>
                <w:color w:val="000000"/>
                <w:lang w:eastAsia="pt-BR"/>
              </w:rPr>
              <w:t>Agua</w:t>
            </w:r>
            <w:proofErr w:type="spellEnd"/>
          </w:p>
        </w:tc>
        <w:tc>
          <w:tcPr>
            <w:tcW w:w="1115" w:type="dxa"/>
            <w:tcBorders>
              <w:top w:val="nil"/>
              <w:left w:val="nil"/>
              <w:bottom w:val="nil"/>
              <w:right w:val="single" w:sz="4" w:space="0" w:color="auto"/>
            </w:tcBorders>
            <w:shd w:val="clear" w:color="auto" w:fill="auto"/>
            <w:noWrap/>
            <w:vAlign w:val="bottom"/>
            <w:hideMark/>
          </w:tcPr>
          <w:p w:rsidR="00572D4A" w:rsidRPr="00572D4A" w:rsidRDefault="00572D4A" w:rsidP="00572D4A">
            <w:pPr>
              <w:spacing w:after="0" w:line="240" w:lineRule="auto"/>
              <w:ind w:firstLineChars="100" w:firstLine="220"/>
              <w:rPr>
                <w:rFonts w:eastAsia="Times New Roman"/>
                <w:color w:val="000000"/>
                <w:lang w:eastAsia="pt-BR"/>
              </w:rPr>
            </w:pPr>
            <w:r w:rsidRPr="00572D4A">
              <w:rPr>
                <w:rFonts w:eastAsia="Times New Roman"/>
                <w:color w:val="000000"/>
                <w:lang w:eastAsia="pt-BR"/>
              </w:rPr>
              <w:t>2,0%</w:t>
            </w:r>
          </w:p>
        </w:tc>
        <w:tc>
          <w:tcPr>
            <w:tcW w:w="841" w:type="dxa"/>
            <w:tcBorders>
              <w:top w:val="nil"/>
              <w:left w:val="nil"/>
              <w:bottom w:val="nil"/>
              <w:right w:val="single" w:sz="8" w:space="0" w:color="auto"/>
            </w:tcBorders>
            <w:shd w:val="clear" w:color="auto" w:fill="auto"/>
            <w:noWrap/>
            <w:vAlign w:val="bottom"/>
            <w:hideMark/>
          </w:tcPr>
          <w:p w:rsidR="00572D4A" w:rsidRPr="00572D4A" w:rsidRDefault="00572D4A" w:rsidP="00572D4A">
            <w:pPr>
              <w:spacing w:after="0" w:line="240" w:lineRule="auto"/>
              <w:jc w:val="center"/>
              <w:rPr>
                <w:rFonts w:eastAsia="Times New Roman"/>
                <w:color w:val="000000"/>
                <w:lang w:eastAsia="pt-BR"/>
              </w:rPr>
            </w:pPr>
            <w:r w:rsidRPr="00572D4A">
              <w:rPr>
                <w:rFonts w:eastAsia="Times New Roman"/>
                <w:color w:val="000000"/>
                <w:lang w:eastAsia="pt-BR"/>
              </w:rPr>
              <w:t>VFA</w:t>
            </w:r>
          </w:p>
        </w:tc>
        <w:tc>
          <w:tcPr>
            <w:tcW w:w="1781"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ind w:firstLineChars="100" w:firstLine="220"/>
              <w:rPr>
                <w:rFonts w:eastAsia="Times New Roman"/>
                <w:i/>
                <w:iCs/>
                <w:color w:val="000000"/>
                <w:lang w:eastAsia="pt-BR"/>
              </w:rPr>
            </w:pPr>
            <w:r w:rsidRPr="00572D4A">
              <w:rPr>
                <w:rFonts w:eastAsia="Times New Roman"/>
                <w:i/>
                <w:iCs/>
                <w:color w:val="000000"/>
                <w:lang w:eastAsia="pt-BR"/>
              </w:rPr>
              <w:t xml:space="preserve">                 175.271 </w:t>
            </w:r>
          </w:p>
        </w:tc>
        <w:tc>
          <w:tcPr>
            <w:tcW w:w="1428" w:type="dxa"/>
            <w:tcBorders>
              <w:top w:val="nil"/>
              <w:left w:val="single" w:sz="8" w:space="0" w:color="auto"/>
              <w:bottom w:val="nil"/>
              <w:right w:val="single" w:sz="4" w:space="0" w:color="auto"/>
            </w:tcBorders>
            <w:shd w:val="clear" w:color="auto" w:fill="auto"/>
            <w:noWrap/>
            <w:vAlign w:val="bottom"/>
            <w:hideMark/>
          </w:tcPr>
          <w:p w:rsidR="00572D4A" w:rsidRPr="00572D4A" w:rsidRDefault="00572D4A" w:rsidP="00572D4A">
            <w:pPr>
              <w:spacing w:after="0" w:line="240" w:lineRule="auto"/>
              <w:ind w:firstLineChars="100" w:firstLine="220"/>
              <w:rPr>
                <w:rFonts w:eastAsia="Times New Roman"/>
                <w:color w:val="000000"/>
                <w:lang w:eastAsia="pt-BR"/>
              </w:rPr>
            </w:pPr>
            <w:r w:rsidRPr="00572D4A">
              <w:rPr>
                <w:rFonts w:eastAsia="Times New Roman"/>
                <w:color w:val="000000"/>
                <w:lang w:eastAsia="pt-BR"/>
              </w:rPr>
              <w:t xml:space="preserve">            50.526 </w:t>
            </w:r>
          </w:p>
        </w:tc>
      </w:tr>
      <w:tr w:rsidR="00572D4A" w:rsidRPr="00572D4A" w:rsidTr="00B13DE1">
        <w:trPr>
          <w:trHeight w:val="300"/>
        </w:trPr>
        <w:tc>
          <w:tcPr>
            <w:tcW w:w="3148" w:type="dxa"/>
            <w:tcBorders>
              <w:top w:val="nil"/>
              <w:left w:val="single" w:sz="8" w:space="0" w:color="auto"/>
              <w:bottom w:val="single" w:sz="4" w:space="0" w:color="auto"/>
              <w:right w:val="single" w:sz="4" w:space="0" w:color="auto"/>
            </w:tcBorders>
            <w:shd w:val="clear" w:color="auto" w:fill="auto"/>
            <w:noWrap/>
            <w:vAlign w:val="bottom"/>
            <w:hideMark/>
          </w:tcPr>
          <w:p w:rsidR="00572D4A" w:rsidRPr="00572D4A" w:rsidRDefault="00572D4A" w:rsidP="00572D4A">
            <w:pPr>
              <w:spacing w:after="0" w:line="240" w:lineRule="auto"/>
              <w:ind w:firstLineChars="100" w:firstLine="220"/>
              <w:rPr>
                <w:rFonts w:eastAsia="Times New Roman"/>
                <w:color w:val="000000"/>
                <w:lang w:eastAsia="pt-BR"/>
              </w:rPr>
            </w:pPr>
            <w:r w:rsidRPr="00572D4A">
              <w:rPr>
                <w:rFonts w:eastAsia="Times New Roman"/>
                <w:color w:val="000000"/>
                <w:lang w:eastAsia="pt-BR"/>
              </w:rPr>
              <w:t>Vol. Faturado Esgoto</w:t>
            </w:r>
          </w:p>
        </w:tc>
        <w:tc>
          <w:tcPr>
            <w:tcW w:w="1115" w:type="dxa"/>
            <w:tcBorders>
              <w:top w:val="nil"/>
              <w:left w:val="nil"/>
              <w:bottom w:val="single" w:sz="4" w:space="0" w:color="auto"/>
              <w:right w:val="single" w:sz="4" w:space="0" w:color="auto"/>
            </w:tcBorders>
            <w:shd w:val="clear" w:color="auto" w:fill="auto"/>
            <w:noWrap/>
            <w:vAlign w:val="bottom"/>
            <w:hideMark/>
          </w:tcPr>
          <w:p w:rsidR="00572D4A" w:rsidRPr="00572D4A" w:rsidRDefault="00572D4A" w:rsidP="00572D4A">
            <w:pPr>
              <w:spacing w:after="0" w:line="240" w:lineRule="auto"/>
              <w:ind w:firstLineChars="100" w:firstLine="220"/>
              <w:rPr>
                <w:rFonts w:eastAsia="Times New Roman"/>
                <w:color w:val="000000"/>
                <w:lang w:eastAsia="pt-BR"/>
              </w:rPr>
            </w:pPr>
            <w:r w:rsidRPr="00572D4A">
              <w:rPr>
                <w:rFonts w:eastAsia="Times New Roman"/>
                <w:color w:val="000000"/>
                <w:lang w:eastAsia="pt-BR"/>
              </w:rPr>
              <w:t> </w:t>
            </w:r>
          </w:p>
        </w:tc>
        <w:tc>
          <w:tcPr>
            <w:tcW w:w="841" w:type="dxa"/>
            <w:tcBorders>
              <w:top w:val="nil"/>
              <w:left w:val="nil"/>
              <w:bottom w:val="single" w:sz="4" w:space="0" w:color="auto"/>
              <w:right w:val="single" w:sz="8" w:space="0" w:color="auto"/>
            </w:tcBorders>
            <w:shd w:val="clear" w:color="auto" w:fill="auto"/>
            <w:noWrap/>
            <w:vAlign w:val="bottom"/>
            <w:hideMark/>
          </w:tcPr>
          <w:p w:rsidR="00572D4A" w:rsidRPr="00572D4A" w:rsidRDefault="00572D4A" w:rsidP="00572D4A">
            <w:pPr>
              <w:spacing w:after="0" w:line="240" w:lineRule="auto"/>
              <w:jc w:val="center"/>
              <w:rPr>
                <w:rFonts w:eastAsia="Times New Roman"/>
                <w:color w:val="000000"/>
                <w:lang w:eastAsia="pt-BR"/>
              </w:rPr>
            </w:pPr>
            <w:r w:rsidRPr="00572D4A">
              <w:rPr>
                <w:rFonts w:eastAsia="Times New Roman"/>
                <w:color w:val="000000"/>
                <w:lang w:eastAsia="pt-BR"/>
              </w:rPr>
              <w:t>VFE</w:t>
            </w:r>
          </w:p>
        </w:tc>
        <w:tc>
          <w:tcPr>
            <w:tcW w:w="1781" w:type="dxa"/>
            <w:tcBorders>
              <w:top w:val="nil"/>
              <w:left w:val="nil"/>
              <w:bottom w:val="single" w:sz="4" w:space="0" w:color="auto"/>
              <w:right w:val="nil"/>
            </w:tcBorders>
            <w:shd w:val="clear" w:color="auto" w:fill="auto"/>
            <w:noWrap/>
            <w:vAlign w:val="bottom"/>
            <w:hideMark/>
          </w:tcPr>
          <w:p w:rsidR="00572D4A" w:rsidRPr="00572D4A" w:rsidRDefault="00572D4A" w:rsidP="00572D4A">
            <w:pPr>
              <w:spacing w:after="0" w:line="240" w:lineRule="auto"/>
              <w:ind w:firstLineChars="100" w:firstLine="220"/>
              <w:rPr>
                <w:rFonts w:eastAsia="Times New Roman"/>
                <w:i/>
                <w:iCs/>
                <w:color w:val="000000"/>
                <w:lang w:eastAsia="pt-BR"/>
              </w:rPr>
            </w:pPr>
            <w:r w:rsidRPr="00572D4A">
              <w:rPr>
                <w:rFonts w:eastAsia="Times New Roman"/>
                <w:i/>
                <w:iCs/>
                <w:color w:val="000000"/>
                <w:lang w:eastAsia="pt-BR"/>
              </w:rPr>
              <w:t xml:space="preserve">                 105.514 </w:t>
            </w:r>
          </w:p>
        </w:tc>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572D4A" w:rsidRPr="00572D4A" w:rsidRDefault="00572D4A" w:rsidP="00572D4A">
            <w:pPr>
              <w:spacing w:after="0" w:line="240" w:lineRule="auto"/>
              <w:ind w:firstLineChars="100" w:firstLine="220"/>
              <w:rPr>
                <w:rFonts w:eastAsia="Times New Roman"/>
                <w:color w:val="000000"/>
                <w:lang w:eastAsia="pt-BR"/>
              </w:rPr>
            </w:pPr>
            <w:r w:rsidRPr="00572D4A">
              <w:rPr>
                <w:rFonts w:eastAsia="Times New Roman"/>
                <w:color w:val="000000"/>
                <w:lang w:eastAsia="pt-BR"/>
              </w:rPr>
              <w:t xml:space="preserve">            16.037 </w:t>
            </w:r>
          </w:p>
        </w:tc>
      </w:tr>
      <w:tr w:rsidR="00572D4A" w:rsidRPr="00572D4A" w:rsidTr="00B13DE1">
        <w:trPr>
          <w:trHeight w:val="300"/>
        </w:trPr>
        <w:tc>
          <w:tcPr>
            <w:tcW w:w="3148" w:type="dxa"/>
            <w:tcBorders>
              <w:top w:val="nil"/>
              <w:left w:val="single" w:sz="8" w:space="0" w:color="auto"/>
              <w:bottom w:val="nil"/>
              <w:right w:val="single" w:sz="4" w:space="0" w:color="auto"/>
            </w:tcBorders>
            <w:shd w:val="clear" w:color="000000" w:fill="F2F2F2"/>
            <w:noWrap/>
            <w:vAlign w:val="bottom"/>
            <w:hideMark/>
          </w:tcPr>
          <w:p w:rsidR="00572D4A" w:rsidRPr="00572D4A" w:rsidRDefault="00572D4A" w:rsidP="00572D4A">
            <w:pPr>
              <w:spacing w:after="0" w:line="240" w:lineRule="auto"/>
              <w:rPr>
                <w:rFonts w:eastAsia="Times New Roman"/>
                <w:bCs/>
                <w:color w:val="000000"/>
                <w:lang w:eastAsia="pt-BR"/>
              </w:rPr>
            </w:pPr>
            <w:r w:rsidRPr="00572D4A">
              <w:rPr>
                <w:rFonts w:eastAsia="Times New Roman"/>
                <w:bCs/>
                <w:color w:val="000000"/>
                <w:lang w:eastAsia="pt-BR"/>
              </w:rPr>
              <w:t>Receita Requerida Direta</w:t>
            </w:r>
          </w:p>
        </w:tc>
        <w:tc>
          <w:tcPr>
            <w:tcW w:w="1115" w:type="dxa"/>
            <w:tcBorders>
              <w:top w:val="nil"/>
              <w:left w:val="nil"/>
              <w:bottom w:val="nil"/>
              <w:right w:val="single" w:sz="4" w:space="0" w:color="auto"/>
            </w:tcBorders>
            <w:shd w:val="clear" w:color="000000" w:fill="F2F2F2"/>
            <w:noWrap/>
            <w:vAlign w:val="bottom"/>
            <w:hideMark/>
          </w:tcPr>
          <w:p w:rsidR="00572D4A" w:rsidRPr="00572D4A" w:rsidRDefault="00572D4A" w:rsidP="00572D4A">
            <w:pPr>
              <w:spacing w:after="0" w:line="240" w:lineRule="auto"/>
              <w:rPr>
                <w:rFonts w:eastAsia="Times New Roman"/>
                <w:bCs/>
                <w:color w:val="000000"/>
                <w:lang w:eastAsia="pt-BR"/>
              </w:rPr>
            </w:pPr>
            <w:r w:rsidRPr="00572D4A">
              <w:rPr>
                <w:rFonts w:eastAsia="Times New Roman"/>
                <w:bCs/>
                <w:color w:val="000000"/>
                <w:lang w:eastAsia="pt-BR"/>
              </w:rPr>
              <w:t> </w:t>
            </w:r>
          </w:p>
        </w:tc>
        <w:tc>
          <w:tcPr>
            <w:tcW w:w="841" w:type="dxa"/>
            <w:tcBorders>
              <w:top w:val="nil"/>
              <w:left w:val="nil"/>
              <w:bottom w:val="nil"/>
              <w:right w:val="single" w:sz="8" w:space="0" w:color="auto"/>
            </w:tcBorders>
            <w:shd w:val="clear" w:color="000000" w:fill="F2F2F2"/>
            <w:noWrap/>
            <w:vAlign w:val="bottom"/>
            <w:hideMark/>
          </w:tcPr>
          <w:p w:rsidR="00572D4A" w:rsidRPr="00572D4A" w:rsidRDefault="00572D4A" w:rsidP="00572D4A">
            <w:pPr>
              <w:spacing w:after="0" w:line="240" w:lineRule="auto"/>
              <w:jc w:val="center"/>
              <w:rPr>
                <w:rFonts w:eastAsia="Times New Roman"/>
                <w:bCs/>
                <w:color w:val="000000"/>
                <w:lang w:eastAsia="pt-BR"/>
              </w:rPr>
            </w:pPr>
            <w:r w:rsidRPr="00572D4A">
              <w:rPr>
                <w:rFonts w:eastAsia="Times New Roman"/>
                <w:bCs/>
                <w:color w:val="000000"/>
                <w:lang w:eastAsia="pt-BR"/>
              </w:rPr>
              <w:t>RRD</w:t>
            </w:r>
          </w:p>
        </w:tc>
        <w:tc>
          <w:tcPr>
            <w:tcW w:w="1781" w:type="dxa"/>
            <w:tcBorders>
              <w:top w:val="single" w:sz="4" w:space="0" w:color="auto"/>
              <w:left w:val="nil"/>
              <w:bottom w:val="nil"/>
              <w:right w:val="nil"/>
            </w:tcBorders>
            <w:shd w:val="clear" w:color="000000" w:fill="F2F2F2"/>
            <w:noWrap/>
            <w:vAlign w:val="bottom"/>
            <w:hideMark/>
          </w:tcPr>
          <w:p w:rsidR="00572D4A" w:rsidRPr="00572D4A" w:rsidRDefault="00572D4A" w:rsidP="00572D4A">
            <w:pPr>
              <w:spacing w:after="0" w:line="240" w:lineRule="auto"/>
              <w:rPr>
                <w:rFonts w:eastAsia="Times New Roman"/>
                <w:bCs/>
                <w:i/>
                <w:iCs/>
                <w:color w:val="000000"/>
                <w:lang w:eastAsia="pt-BR"/>
              </w:rPr>
            </w:pPr>
            <w:r w:rsidRPr="00572D4A">
              <w:rPr>
                <w:rFonts w:eastAsia="Times New Roman"/>
                <w:bCs/>
                <w:i/>
                <w:iCs/>
                <w:color w:val="000000"/>
                <w:lang w:eastAsia="pt-BR"/>
              </w:rPr>
              <w:t xml:space="preserve">                    987.679 </w:t>
            </w:r>
          </w:p>
        </w:tc>
        <w:tc>
          <w:tcPr>
            <w:tcW w:w="1428" w:type="dxa"/>
            <w:tcBorders>
              <w:top w:val="nil"/>
              <w:left w:val="single" w:sz="8" w:space="0" w:color="auto"/>
              <w:bottom w:val="nil"/>
              <w:right w:val="single" w:sz="4" w:space="0" w:color="auto"/>
            </w:tcBorders>
            <w:shd w:val="clear" w:color="000000" w:fill="F2F2F2"/>
            <w:noWrap/>
            <w:vAlign w:val="bottom"/>
            <w:hideMark/>
          </w:tcPr>
          <w:p w:rsidR="00572D4A" w:rsidRPr="00572D4A" w:rsidRDefault="00572D4A" w:rsidP="00572D4A">
            <w:pPr>
              <w:spacing w:after="0" w:line="240" w:lineRule="auto"/>
              <w:rPr>
                <w:rFonts w:eastAsia="Times New Roman"/>
                <w:bCs/>
                <w:color w:val="000000"/>
                <w:lang w:eastAsia="pt-BR"/>
              </w:rPr>
            </w:pPr>
            <w:r w:rsidRPr="00572D4A">
              <w:rPr>
                <w:rFonts w:eastAsia="Times New Roman"/>
                <w:bCs/>
                <w:color w:val="000000"/>
                <w:lang w:eastAsia="pt-BR"/>
              </w:rPr>
              <w:t xml:space="preserve">             203.255 </w:t>
            </w:r>
          </w:p>
        </w:tc>
      </w:tr>
      <w:tr w:rsidR="00572D4A" w:rsidRPr="00572D4A" w:rsidTr="00B13DE1">
        <w:trPr>
          <w:trHeight w:val="300"/>
        </w:trPr>
        <w:tc>
          <w:tcPr>
            <w:tcW w:w="3148" w:type="dxa"/>
            <w:tcBorders>
              <w:top w:val="nil"/>
              <w:left w:val="single" w:sz="8" w:space="0" w:color="auto"/>
              <w:bottom w:val="nil"/>
              <w:right w:val="single" w:sz="4" w:space="0" w:color="auto"/>
            </w:tcBorders>
            <w:shd w:val="clear" w:color="auto" w:fill="auto"/>
            <w:noWrap/>
            <w:vAlign w:val="bottom"/>
            <w:hideMark/>
          </w:tcPr>
          <w:p w:rsidR="00572D4A" w:rsidRPr="00572D4A" w:rsidRDefault="00572D4A" w:rsidP="00572D4A">
            <w:pPr>
              <w:spacing w:after="0" w:line="240" w:lineRule="auto"/>
              <w:ind w:firstLineChars="100" w:firstLine="220"/>
              <w:rPr>
                <w:rFonts w:eastAsia="Times New Roman"/>
                <w:color w:val="000000"/>
                <w:lang w:eastAsia="pt-BR"/>
              </w:rPr>
            </w:pPr>
            <w:r w:rsidRPr="00572D4A">
              <w:rPr>
                <w:rFonts w:eastAsia="Times New Roman"/>
                <w:color w:val="000000"/>
                <w:lang w:eastAsia="pt-BR"/>
              </w:rPr>
              <w:t xml:space="preserve">RRD </w:t>
            </w:r>
            <w:proofErr w:type="spellStart"/>
            <w:r w:rsidRPr="00572D4A">
              <w:rPr>
                <w:rFonts w:eastAsia="Times New Roman"/>
                <w:color w:val="000000"/>
                <w:lang w:eastAsia="pt-BR"/>
              </w:rPr>
              <w:t>Agua</w:t>
            </w:r>
            <w:proofErr w:type="spellEnd"/>
          </w:p>
        </w:tc>
        <w:tc>
          <w:tcPr>
            <w:tcW w:w="1115" w:type="dxa"/>
            <w:tcBorders>
              <w:top w:val="nil"/>
              <w:left w:val="nil"/>
              <w:bottom w:val="nil"/>
              <w:right w:val="single" w:sz="4" w:space="0" w:color="auto"/>
            </w:tcBorders>
            <w:shd w:val="clear" w:color="auto" w:fill="auto"/>
            <w:noWrap/>
            <w:vAlign w:val="bottom"/>
            <w:hideMark/>
          </w:tcPr>
          <w:p w:rsidR="00572D4A" w:rsidRPr="00572D4A" w:rsidRDefault="00572D4A" w:rsidP="00572D4A">
            <w:pPr>
              <w:spacing w:after="0" w:line="240" w:lineRule="auto"/>
              <w:ind w:firstLineChars="100" w:firstLine="220"/>
              <w:rPr>
                <w:rFonts w:eastAsia="Times New Roman"/>
                <w:color w:val="000000"/>
                <w:lang w:eastAsia="pt-BR"/>
              </w:rPr>
            </w:pPr>
            <w:r w:rsidRPr="00572D4A">
              <w:rPr>
                <w:rFonts w:eastAsia="Times New Roman"/>
                <w:color w:val="000000"/>
                <w:lang w:eastAsia="pt-BR"/>
              </w:rPr>
              <w:t> </w:t>
            </w:r>
          </w:p>
        </w:tc>
        <w:tc>
          <w:tcPr>
            <w:tcW w:w="841" w:type="dxa"/>
            <w:tcBorders>
              <w:top w:val="nil"/>
              <w:left w:val="nil"/>
              <w:bottom w:val="nil"/>
              <w:right w:val="single" w:sz="8" w:space="0" w:color="auto"/>
            </w:tcBorders>
            <w:shd w:val="clear" w:color="auto" w:fill="auto"/>
            <w:noWrap/>
            <w:vAlign w:val="bottom"/>
            <w:hideMark/>
          </w:tcPr>
          <w:p w:rsidR="00572D4A" w:rsidRPr="00572D4A" w:rsidRDefault="00572D4A" w:rsidP="00572D4A">
            <w:pPr>
              <w:spacing w:after="0" w:line="240" w:lineRule="auto"/>
              <w:jc w:val="center"/>
              <w:rPr>
                <w:rFonts w:eastAsia="Times New Roman"/>
                <w:color w:val="000000"/>
                <w:lang w:eastAsia="pt-BR"/>
              </w:rPr>
            </w:pPr>
            <w:r w:rsidRPr="00572D4A">
              <w:rPr>
                <w:rFonts w:eastAsia="Times New Roman"/>
                <w:color w:val="000000"/>
                <w:lang w:eastAsia="pt-BR"/>
              </w:rPr>
              <w:t> </w:t>
            </w:r>
          </w:p>
        </w:tc>
        <w:tc>
          <w:tcPr>
            <w:tcW w:w="1781"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ind w:firstLineChars="100" w:firstLine="220"/>
              <w:rPr>
                <w:rFonts w:eastAsia="Times New Roman"/>
                <w:i/>
                <w:iCs/>
                <w:color w:val="000000"/>
                <w:lang w:eastAsia="pt-BR"/>
              </w:rPr>
            </w:pPr>
            <w:r w:rsidRPr="00572D4A">
              <w:rPr>
                <w:rFonts w:eastAsia="Times New Roman"/>
                <w:i/>
                <w:iCs/>
                <w:color w:val="000000"/>
                <w:lang w:eastAsia="pt-BR"/>
              </w:rPr>
              <w:t xml:space="preserve">                 666.628 </w:t>
            </w:r>
          </w:p>
        </w:tc>
        <w:tc>
          <w:tcPr>
            <w:tcW w:w="1428" w:type="dxa"/>
            <w:tcBorders>
              <w:top w:val="nil"/>
              <w:left w:val="single" w:sz="8" w:space="0" w:color="auto"/>
              <w:bottom w:val="nil"/>
              <w:right w:val="single" w:sz="4" w:space="0" w:color="auto"/>
            </w:tcBorders>
            <w:shd w:val="clear" w:color="auto" w:fill="auto"/>
            <w:noWrap/>
            <w:vAlign w:val="bottom"/>
            <w:hideMark/>
          </w:tcPr>
          <w:p w:rsidR="00572D4A" w:rsidRPr="00572D4A" w:rsidRDefault="00572D4A" w:rsidP="00572D4A">
            <w:pPr>
              <w:spacing w:after="0" w:line="240" w:lineRule="auto"/>
              <w:ind w:firstLineChars="100" w:firstLine="220"/>
              <w:rPr>
                <w:rFonts w:eastAsia="Times New Roman"/>
                <w:color w:val="000000"/>
                <w:lang w:eastAsia="pt-BR"/>
              </w:rPr>
            </w:pPr>
            <w:r w:rsidRPr="00572D4A">
              <w:rPr>
                <w:rFonts w:eastAsia="Times New Roman"/>
                <w:color w:val="000000"/>
                <w:lang w:eastAsia="pt-BR"/>
              </w:rPr>
              <w:t xml:space="preserve">          162.096 </w:t>
            </w:r>
          </w:p>
        </w:tc>
      </w:tr>
      <w:tr w:rsidR="00572D4A" w:rsidRPr="00572D4A" w:rsidTr="00B13DE1">
        <w:trPr>
          <w:trHeight w:val="300"/>
        </w:trPr>
        <w:tc>
          <w:tcPr>
            <w:tcW w:w="3148" w:type="dxa"/>
            <w:tcBorders>
              <w:top w:val="nil"/>
              <w:left w:val="single" w:sz="8" w:space="0" w:color="auto"/>
              <w:bottom w:val="single" w:sz="4" w:space="0" w:color="auto"/>
              <w:right w:val="single" w:sz="4" w:space="0" w:color="auto"/>
            </w:tcBorders>
            <w:shd w:val="clear" w:color="auto" w:fill="auto"/>
            <w:noWrap/>
            <w:vAlign w:val="bottom"/>
            <w:hideMark/>
          </w:tcPr>
          <w:p w:rsidR="00572D4A" w:rsidRPr="00572D4A" w:rsidRDefault="00572D4A" w:rsidP="00572D4A">
            <w:pPr>
              <w:spacing w:after="0" w:line="240" w:lineRule="auto"/>
              <w:ind w:firstLineChars="100" w:firstLine="220"/>
              <w:rPr>
                <w:rFonts w:eastAsia="Times New Roman"/>
                <w:color w:val="000000"/>
                <w:lang w:eastAsia="pt-BR"/>
              </w:rPr>
            </w:pPr>
            <w:r w:rsidRPr="00572D4A">
              <w:rPr>
                <w:rFonts w:eastAsia="Times New Roman"/>
                <w:color w:val="000000"/>
                <w:lang w:eastAsia="pt-BR"/>
              </w:rPr>
              <w:t>RRD Esgoto</w:t>
            </w:r>
          </w:p>
        </w:tc>
        <w:tc>
          <w:tcPr>
            <w:tcW w:w="1115" w:type="dxa"/>
            <w:tcBorders>
              <w:top w:val="nil"/>
              <w:left w:val="nil"/>
              <w:bottom w:val="single" w:sz="4" w:space="0" w:color="auto"/>
              <w:right w:val="single" w:sz="4" w:space="0" w:color="auto"/>
            </w:tcBorders>
            <w:shd w:val="clear" w:color="auto" w:fill="auto"/>
            <w:noWrap/>
            <w:vAlign w:val="bottom"/>
            <w:hideMark/>
          </w:tcPr>
          <w:p w:rsidR="00572D4A" w:rsidRPr="00572D4A" w:rsidRDefault="00572D4A" w:rsidP="00572D4A">
            <w:pPr>
              <w:spacing w:after="0" w:line="240" w:lineRule="auto"/>
              <w:ind w:firstLineChars="100" w:firstLine="220"/>
              <w:rPr>
                <w:rFonts w:eastAsia="Times New Roman"/>
                <w:color w:val="000000"/>
                <w:lang w:eastAsia="pt-BR"/>
              </w:rPr>
            </w:pPr>
            <w:r w:rsidRPr="00572D4A">
              <w:rPr>
                <w:rFonts w:eastAsia="Times New Roman"/>
                <w:color w:val="000000"/>
                <w:lang w:eastAsia="pt-BR"/>
              </w:rPr>
              <w:t> </w:t>
            </w:r>
          </w:p>
        </w:tc>
        <w:tc>
          <w:tcPr>
            <w:tcW w:w="841" w:type="dxa"/>
            <w:tcBorders>
              <w:top w:val="nil"/>
              <w:left w:val="nil"/>
              <w:bottom w:val="single" w:sz="4" w:space="0" w:color="auto"/>
              <w:right w:val="single" w:sz="8" w:space="0" w:color="auto"/>
            </w:tcBorders>
            <w:shd w:val="clear" w:color="auto" w:fill="auto"/>
            <w:noWrap/>
            <w:vAlign w:val="bottom"/>
            <w:hideMark/>
          </w:tcPr>
          <w:p w:rsidR="00572D4A" w:rsidRPr="00572D4A" w:rsidRDefault="00572D4A" w:rsidP="00572D4A">
            <w:pPr>
              <w:spacing w:after="0" w:line="240" w:lineRule="auto"/>
              <w:jc w:val="center"/>
              <w:rPr>
                <w:rFonts w:eastAsia="Times New Roman"/>
                <w:color w:val="000000"/>
                <w:lang w:eastAsia="pt-BR"/>
              </w:rPr>
            </w:pPr>
            <w:r w:rsidRPr="00572D4A">
              <w:rPr>
                <w:rFonts w:eastAsia="Times New Roman"/>
                <w:color w:val="000000"/>
                <w:lang w:eastAsia="pt-BR"/>
              </w:rPr>
              <w:t> </w:t>
            </w:r>
          </w:p>
        </w:tc>
        <w:tc>
          <w:tcPr>
            <w:tcW w:w="1781" w:type="dxa"/>
            <w:tcBorders>
              <w:top w:val="nil"/>
              <w:left w:val="nil"/>
              <w:bottom w:val="single" w:sz="4" w:space="0" w:color="auto"/>
              <w:right w:val="nil"/>
            </w:tcBorders>
            <w:shd w:val="clear" w:color="auto" w:fill="auto"/>
            <w:noWrap/>
            <w:vAlign w:val="bottom"/>
            <w:hideMark/>
          </w:tcPr>
          <w:p w:rsidR="00572D4A" w:rsidRPr="00572D4A" w:rsidRDefault="00572D4A" w:rsidP="00572D4A">
            <w:pPr>
              <w:spacing w:after="0" w:line="240" w:lineRule="auto"/>
              <w:ind w:firstLineChars="100" w:firstLine="220"/>
              <w:rPr>
                <w:rFonts w:eastAsia="Times New Roman"/>
                <w:i/>
                <w:iCs/>
                <w:color w:val="000000"/>
                <w:lang w:eastAsia="pt-BR"/>
              </w:rPr>
            </w:pPr>
            <w:r w:rsidRPr="00572D4A">
              <w:rPr>
                <w:rFonts w:eastAsia="Times New Roman"/>
                <w:i/>
                <w:iCs/>
                <w:color w:val="000000"/>
                <w:lang w:eastAsia="pt-BR"/>
              </w:rPr>
              <w:t xml:space="preserve">                 321.051 </w:t>
            </w:r>
          </w:p>
        </w:tc>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572D4A" w:rsidRPr="00572D4A" w:rsidRDefault="00572D4A" w:rsidP="00572D4A">
            <w:pPr>
              <w:spacing w:after="0" w:line="240" w:lineRule="auto"/>
              <w:ind w:firstLineChars="100" w:firstLine="220"/>
              <w:rPr>
                <w:rFonts w:eastAsia="Times New Roman"/>
                <w:color w:val="000000"/>
                <w:lang w:eastAsia="pt-BR"/>
              </w:rPr>
            </w:pPr>
            <w:r w:rsidRPr="00572D4A">
              <w:rPr>
                <w:rFonts w:eastAsia="Times New Roman"/>
                <w:color w:val="000000"/>
                <w:lang w:eastAsia="pt-BR"/>
              </w:rPr>
              <w:t xml:space="preserve">            41.160 </w:t>
            </w:r>
          </w:p>
        </w:tc>
      </w:tr>
      <w:tr w:rsidR="00572D4A" w:rsidRPr="00572D4A" w:rsidTr="00B13DE1">
        <w:trPr>
          <w:trHeight w:val="300"/>
        </w:trPr>
        <w:tc>
          <w:tcPr>
            <w:tcW w:w="3148" w:type="dxa"/>
            <w:tcBorders>
              <w:top w:val="nil"/>
              <w:left w:val="single" w:sz="8" w:space="0" w:color="auto"/>
              <w:bottom w:val="single" w:sz="4" w:space="0" w:color="auto"/>
              <w:right w:val="single" w:sz="4" w:space="0" w:color="auto"/>
            </w:tcBorders>
            <w:shd w:val="clear" w:color="000000" w:fill="F2F2F2"/>
            <w:noWrap/>
            <w:vAlign w:val="bottom"/>
            <w:hideMark/>
          </w:tcPr>
          <w:p w:rsidR="00572D4A" w:rsidRPr="00572D4A" w:rsidRDefault="00572D4A" w:rsidP="00572D4A">
            <w:pPr>
              <w:spacing w:after="0" w:line="240" w:lineRule="auto"/>
              <w:rPr>
                <w:rFonts w:eastAsia="Times New Roman"/>
                <w:bCs/>
                <w:color w:val="000000"/>
                <w:lang w:eastAsia="pt-BR"/>
              </w:rPr>
            </w:pPr>
            <w:r w:rsidRPr="00572D4A">
              <w:rPr>
                <w:rFonts w:eastAsia="Times New Roman"/>
                <w:bCs/>
                <w:color w:val="000000"/>
                <w:lang w:eastAsia="pt-BR"/>
              </w:rPr>
              <w:t>Receita Indireta</w:t>
            </w:r>
          </w:p>
        </w:tc>
        <w:tc>
          <w:tcPr>
            <w:tcW w:w="1115" w:type="dxa"/>
            <w:tcBorders>
              <w:top w:val="nil"/>
              <w:left w:val="nil"/>
              <w:bottom w:val="single" w:sz="4" w:space="0" w:color="auto"/>
              <w:right w:val="single" w:sz="4" w:space="0" w:color="auto"/>
            </w:tcBorders>
            <w:shd w:val="clear" w:color="000000" w:fill="F2F2F2"/>
            <w:noWrap/>
            <w:vAlign w:val="bottom"/>
            <w:hideMark/>
          </w:tcPr>
          <w:p w:rsidR="00572D4A" w:rsidRPr="00572D4A" w:rsidRDefault="00572D4A" w:rsidP="00572D4A">
            <w:pPr>
              <w:spacing w:after="0" w:line="240" w:lineRule="auto"/>
              <w:rPr>
                <w:rFonts w:eastAsia="Times New Roman"/>
                <w:bCs/>
                <w:color w:val="000000"/>
                <w:lang w:eastAsia="pt-BR"/>
              </w:rPr>
            </w:pPr>
            <w:r w:rsidRPr="00572D4A">
              <w:rPr>
                <w:rFonts w:eastAsia="Times New Roman"/>
                <w:bCs/>
                <w:color w:val="000000"/>
                <w:lang w:eastAsia="pt-BR"/>
              </w:rPr>
              <w:t> </w:t>
            </w:r>
          </w:p>
        </w:tc>
        <w:tc>
          <w:tcPr>
            <w:tcW w:w="841" w:type="dxa"/>
            <w:tcBorders>
              <w:top w:val="nil"/>
              <w:left w:val="nil"/>
              <w:bottom w:val="single" w:sz="4" w:space="0" w:color="auto"/>
              <w:right w:val="single" w:sz="8" w:space="0" w:color="auto"/>
            </w:tcBorders>
            <w:shd w:val="clear" w:color="000000" w:fill="F2F2F2"/>
            <w:noWrap/>
            <w:vAlign w:val="bottom"/>
            <w:hideMark/>
          </w:tcPr>
          <w:p w:rsidR="00572D4A" w:rsidRPr="00572D4A" w:rsidRDefault="00572D4A" w:rsidP="00572D4A">
            <w:pPr>
              <w:spacing w:after="0" w:line="240" w:lineRule="auto"/>
              <w:jc w:val="center"/>
              <w:rPr>
                <w:rFonts w:eastAsia="Times New Roman"/>
                <w:bCs/>
                <w:color w:val="000000"/>
                <w:lang w:eastAsia="pt-BR"/>
              </w:rPr>
            </w:pPr>
            <w:r w:rsidRPr="00572D4A">
              <w:rPr>
                <w:rFonts w:eastAsia="Times New Roman"/>
                <w:bCs/>
                <w:color w:val="000000"/>
                <w:lang w:eastAsia="pt-BR"/>
              </w:rPr>
              <w:t>RIN</w:t>
            </w:r>
          </w:p>
        </w:tc>
        <w:tc>
          <w:tcPr>
            <w:tcW w:w="1781" w:type="dxa"/>
            <w:tcBorders>
              <w:top w:val="nil"/>
              <w:left w:val="nil"/>
              <w:bottom w:val="single" w:sz="4" w:space="0" w:color="auto"/>
              <w:right w:val="nil"/>
            </w:tcBorders>
            <w:shd w:val="clear" w:color="000000" w:fill="F2F2F2"/>
            <w:noWrap/>
            <w:vAlign w:val="bottom"/>
            <w:hideMark/>
          </w:tcPr>
          <w:p w:rsidR="00572D4A" w:rsidRPr="00572D4A" w:rsidRDefault="00572D4A" w:rsidP="00572D4A">
            <w:pPr>
              <w:spacing w:after="0" w:line="240" w:lineRule="auto"/>
              <w:rPr>
                <w:rFonts w:eastAsia="Times New Roman"/>
                <w:bCs/>
                <w:i/>
                <w:iCs/>
                <w:color w:val="000000"/>
                <w:lang w:eastAsia="pt-BR"/>
              </w:rPr>
            </w:pPr>
            <w:r w:rsidRPr="00572D4A">
              <w:rPr>
                <w:rFonts w:eastAsia="Times New Roman"/>
                <w:bCs/>
                <w:i/>
                <w:iCs/>
                <w:color w:val="000000"/>
                <w:lang w:eastAsia="pt-BR"/>
              </w:rPr>
              <w:t xml:space="preserve">                      30.186 </w:t>
            </w:r>
          </w:p>
        </w:tc>
        <w:tc>
          <w:tcPr>
            <w:tcW w:w="1428" w:type="dxa"/>
            <w:tcBorders>
              <w:top w:val="nil"/>
              <w:left w:val="single" w:sz="8" w:space="0" w:color="auto"/>
              <w:bottom w:val="single" w:sz="4" w:space="0" w:color="auto"/>
              <w:right w:val="single" w:sz="4" w:space="0" w:color="auto"/>
            </w:tcBorders>
            <w:shd w:val="clear" w:color="000000" w:fill="F2F2F2"/>
            <w:noWrap/>
            <w:vAlign w:val="bottom"/>
            <w:hideMark/>
          </w:tcPr>
          <w:p w:rsidR="00572D4A" w:rsidRPr="00572D4A" w:rsidRDefault="00572D4A" w:rsidP="00572D4A">
            <w:pPr>
              <w:spacing w:after="0" w:line="240" w:lineRule="auto"/>
              <w:rPr>
                <w:rFonts w:eastAsia="Times New Roman"/>
                <w:bCs/>
                <w:color w:val="000000"/>
                <w:lang w:eastAsia="pt-BR"/>
              </w:rPr>
            </w:pPr>
            <w:r w:rsidRPr="00572D4A">
              <w:rPr>
                <w:rFonts w:eastAsia="Times New Roman"/>
                <w:bCs/>
                <w:color w:val="000000"/>
                <w:lang w:eastAsia="pt-BR"/>
              </w:rPr>
              <w:t xml:space="preserve">                  8.712 </w:t>
            </w:r>
          </w:p>
        </w:tc>
      </w:tr>
      <w:tr w:rsidR="00572D4A" w:rsidRPr="00572D4A" w:rsidTr="00B13DE1">
        <w:trPr>
          <w:trHeight w:val="300"/>
        </w:trPr>
        <w:tc>
          <w:tcPr>
            <w:tcW w:w="3148" w:type="dxa"/>
            <w:tcBorders>
              <w:top w:val="nil"/>
              <w:left w:val="single" w:sz="8" w:space="0" w:color="auto"/>
              <w:bottom w:val="single" w:sz="4" w:space="0" w:color="auto"/>
              <w:right w:val="single" w:sz="4" w:space="0" w:color="auto"/>
            </w:tcBorders>
            <w:shd w:val="clear" w:color="000000" w:fill="F2F2F2"/>
            <w:noWrap/>
            <w:vAlign w:val="bottom"/>
            <w:hideMark/>
          </w:tcPr>
          <w:p w:rsidR="00572D4A" w:rsidRPr="00572D4A" w:rsidRDefault="00572D4A" w:rsidP="00572D4A">
            <w:pPr>
              <w:spacing w:after="0" w:line="240" w:lineRule="auto"/>
              <w:rPr>
                <w:rFonts w:eastAsia="Times New Roman"/>
                <w:bCs/>
                <w:color w:val="000000"/>
                <w:lang w:eastAsia="pt-BR"/>
              </w:rPr>
            </w:pPr>
            <w:proofErr w:type="spellStart"/>
            <w:r w:rsidRPr="00572D4A">
              <w:rPr>
                <w:rFonts w:eastAsia="Times New Roman"/>
                <w:bCs/>
                <w:color w:val="000000"/>
                <w:lang w:eastAsia="pt-BR"/>
              </w:rPr>
              <w:t>Imp</w:t>
            </w:r>
            <w:proofErr w:type="spellEnd"/>
            <w:r w:rsidRPr="00572D4A">
              <w:rPr>
                <w:rFonts w:eastAsia="Times New Roman"/>
                <w:bCs/>
                <w:color w:val="000000"/>
                <w:lang w:eastAsia="pt-BR"/>
              </w:rPr>
              <w:t xml:space="preserve"> Indireto (PIS/COFINS)</w:t>
            </w:r>
          </w:p>
        </w:tc>
        <w:tc>
          <w:tcPr>
            <w:tcW w:w="1115" w:type="dxa"/>
            <w:tcBorders>
              <w:top w:val="nil"/>
              <w:left w:val="nil"/>
              <w:bottom w:val="single" w:sz="4" w:space="0" w:color="auto"/>
              <w:right w:val="single" w:sz="4" w:space="0" w:color="auto"/>
            </w:tcBorders>
            <w:shd w:val="clear" w:color="000000" w:fill="F2F2F2"/>
            <w:noWrap/>
            <w:vAlign w:val="bottom"/>
            <w:hideMark/>
          </w:tcPr>
          <w:p w:rsidR="00572D4A" w:rsidRPr="00572D4A" w:rsidRDefault="00572D4A" w:rsidP="00572D4A">
            <w:pPr>
              <w:spacing w:after="0" w:line="240" w:lineRule="auto"/>
              <w:jc w:val="right"/>
              <w:rPr>
                <w:rFonts w:eastAsia="Times New Roman"/>
                <w:bCs/>
                <w:color w:val="000000"/>
                <w:lang w:eastAsia="pt-BR"/>
              </w:rPr>
            </w:pPr>
            <w:r w:rsidRPr="00572D4A">
              <w:rPr>
                <w:rFonts w:eastAsia="Times New Roman"/>
                <w:bCs/>
                <w:color w:val="000000"/>
                <w:lang w:eastAsia="pt-BR"/>
              </w:rPr>
              <w:t>4,43%</w:t>
            </w:r>
          </w:p>
        </w:tc>
        <w:tc>
          <w:tcPr>
            <w:tcW w:w="841" w:type="dxa"/>
            <w:tcBorders>
              <w:top w:val="nil"/>
              <w:left w:val="nil"/>
              <w:bottom w:val="single" w:sz="4" w:space="0" w:color="auto"/>
              <w:right w:val="single" w:sz="8" w:space="0" w:color="auto"/>
            </w:tcBorders>
            <w:shd w:val="clear" w:color="000000" w:fill="F2F2F2"/>
            <w:noWrap/>
            <w:vAlign w:val="bottom"/>
            <w:hideMark/>
          </w:tcPr>
          <w:p w:rsidR="00572D4A" w:rsidRPr="00572D4A" w:rsidRDefault="00572D4A" w:rsidP="00572D4A">
            <w:pPr>
              <w:spacing w:after="0" w:line="240" w:lineRule="auto"/>
              <w:jc w:val="center"/>
              <w:rPr>
                <w:rFonts w:eastAsia="Times New Roman"/>
                <w:bCs/>
                <w:color w:val="000000"/>
                <w:lang w:eastAsia="pt-BR"/>
              </w:rPr>
            </w:pPr>
            <w:r w:rsidRPr="00572D4A">
              <w:rPr>
                <w:rFonts w:eastAsia="Times New Roman"/>
                <w:bCs/>
                <w:color w:val="000000"/>
                <w:lang w:eastAsia="pt-BR"/>
              </w:rPr>
              <w:t>II</w:t>
            </w:r>
          </w:p>
        </w:tc>
        <w:tc>
          <w:tcPr>
            <w:tcW w:w="1781" w:type="dxa"/>
            <w:tcBorders>
              <w:top w:val="nil"/>
              <w:left w:val="nil"/>
              <w:bottom w:val="single" w:sz="4" w:space="0" w:color="auto"/>
              <w:right w:val="nil"/>
            </w:tcBorders>
            <w:shd w:val="clear" w:color="000000" w:fill="F2F2F2"/>
            <w:noWrap/>
            <w:vAlign w:val="bottom"/>
            <w:hideMark/>
          </w:tcPr>
          <w:p w:rsidR="00572D4A" w:rsidRPr="00572D4A" w:rsidRDefault="00572D4A" w:rsidP="00572D4A">
            <w:pPr>
              <w:spacing w:after="0" w:line="240" w:lineRule="auto"/>
              <w:rPr>
                <w:rFonts w:eastAsia="Times New Roman"/>
                <w:bCs/>
                <w:i/>
                <w:iCs/>
                <w:color w:val="000000"/>
                <w:lang w:eastAsia="pt-BR"/>
              </w:rPr>
            </w:pPr>
            <w:r w:rsidRPr="00572D4A">
              <w:rPr>
                <w:rFonts w:eastAsia="Times New Roman"/>
                <w:bCs/>
                <w:i/>
                <w:iCs/>
                <w:color w:val="000000"/>
                <w:lang w:eastAsia="pt-BR"/>
              </w:rPr>
              <w:t xml:space="preserve">                      45.091 </w:t>
            </w:r>
          </w:p>
        </w:tc>
        <w:tc>
          <w:tcPr>
            <w:tcW w:w="1428" w:type="dxa"/>
            <w:tcBorders>
              <w:top w:val="nil"/>
              <w:left w:val="single" w:sz="8" w:space="0" w:color="auto"/>
              <w:bottom w:val="single" w:sz="4" w:space="0" w:color="auto"/>
              <w:right w:val="single" w:sz="4" w:space="0" w:color="auto"/>
            </w:tcBorders>
            <w:shd w:val="clear" w:color="000000" w:fill="F2F2F2"/>
            <w:noWrap/>
            <w:vAlign w:val="bottom"/>
            <w:hideMark/>
          </w:tcPr>
          <w:p w:rsidR="00572D4A" w:rsidRPr="00572D4A" w:rsidRDefault="00572D4A" w:rsidP="00572D4A">
            <w:pPr>
              <w:spacing w:after="0" w:line="240" w:lineRule="auto"/>
              <w:rPr>
                <w:rFonts w:eastAsia="Times New Roman"/>
                <w:bCs/>
                <w:color w:val="000000"/>
                <w:lang w:eastAsia="pt-BR"/>
              </w:rPr>
            </w:pPr>
            <w:r w:rsidRPr="00572D4A">
              <w:rPr>
                <w:rFonts w:eastAsia="Times New Roman"/>
                <w:bCs/>
                <w:color w:val="000000"/>
                <w:lang w:eastAsia="pt-BR"/>
              </w:rPr>
              <w:t xml:space="preserve">                  9.390 </w:t>
            </w:r>
          </w:p>
        </w:tc>
      </w:tr>
      <w:tr w:rsidR="00572D4A" w:rsidRPr="00572D4A" w:rsidTr="00B13DE1">
        <w:trPr>
          <w:trHeight w:val="300"/>
        </w:trPr>
        <w:tc>
          <w:tcPr>
            <w:tcW w:w="3148" w:type="dxa"/>
            <w:tcBorders>
              <w:top w:val="nil"/>
              <w:left w:val="single" w:sz="8" w:space="0" w:color="auto"/>
              <w:bottom w:val="single" w:sz="4" w:space="0" w:color="auto"/>
              <w:right w:val="single" w:sz="4" w:space="0" w:color="auto"/>
            </w:tcBorders>
            <w:shd w:val="clear" w:color="000000" w:fill="F2F2F2"/>
            <w:noWrap/>
            <w:vAlign w:val="bottom"/>
            <w:hideMark/>
          </w:tcPr>
          <w:p w:rsidR="00572D4A" w:rsidRPr="00572D4A" w:rsidRDefault="00572D4A" w:rsidP="00572D4A">
            <w:pPr>
              <w:spacing w:after="0" w:line="240" w:lineRule="auto"/>
              <w:rPr>
                <w:rFonts w:eastAsia="Times New Roman"/>
                <w:bCs/>
                <w:color w:val="000000"/>
                <w:lang w:eastAsia="pt-BR"/>
              </w:rPr>
            </w:pPr>
            <w:r w:rsidRPr="00572D4A">
              <w:rPr>
                <w:rFonts w:eastAsia="Times New Roman"/>
                <w:bCs/>
                <w:color w:val="000000"/>
                <w:lang w:eastAsia="pt-BR"/>
              </w:rPr>
              <w:t xml:space="preserve">Receita </w:t>
            </w:r>
            <w:proofErr w:type="spellStart"/>
            <w:r w:rsidRPr="00572D4A">
              <w:rPr>
                <w:rFonts w:eastAsia="Times New Roman"/>
                <w:bCs/>
                <w:color w:val="000000"/>
                <w:lang w:eastAsia="pt-BR"/>
              </w:rPr>
              <w:t>Irrecuperavel</w:t>
            </w:r>
            <w:proofErr w:type="spellEnd"/>
          </w:p>
        </w:tc>
        <w:tc>
          <w:tcPr>
            <w:tcW w:w="1115" w:type="dxa"/>
            <w:tcBorders>
              <w:top w:val="nil"/>
              <w:left w:val="nil"/>
              <w:bottom w:val="single" w:sz="4" w:space="0" w:color="auto"/>
              <w:right w:val="single" w:sz="4" w:space="0" w:color="auto"/>
            </w:tcBorders>
            <w:shd w:val="clear" w:color="000000" w:fill="F2F2F2"/>
            <w:noWrap/>
            <w:vAlign w:val="bottom"/>
            <w:hideMark/>
          </w:tcPr>
          <w:p w:rsidR="00572D4A" w:rsidRPr="00572D4A" w:rsidRDefault="00572D4A" w:rsidP="00572D4A">
            <w:pPr>
              <w:spacing w:after="0" w:line="240" w:lineRule="auto"/>
              <w:jc w:val="right"/>
              <w:rPr>
                <w:rFonts w:eastAsia="Times New Roman"/>
                <w:bCs/>
                <w:color w:val="000000"/>
                <w:lang w:eastAsia="pt-BR"/>
              </w:rPr>
            </w:pPr>
            <w:r w:rsidRPr="00572D4A">
              <w:rPr>
                <w:rFonts w:eastAsia="Times New Roman"/>
                <w:bCs/>
                <w:color w:val="000000"/>
                <w:lang w:eastAsia="pt-BR"/>
              </w:rPr>
              <w:t>3,82%</w:t>
            </w:r>
          </w:p>
        </w:tc>
        <w:tc>
          <w:tcPr>
            <w:tcW w:w="841" w:type="dxa"/>
            <w:tcBorders>
              <w:top w:val="nil"/>
              <w:left w:val="nil"/>
              <w:bottom w:val="single" w:sz="4" w:space="0" w:color="auto"/>
              <w:right w:val="single" w:sz="8" w:space="0" w:color="auto"/>
            </w:tcBorders>
            <w:shd w:val="clear" w:color="000000" w:fill="F2F2F2"/>
            <w:noWrap/>
            <w:vAlign w:val="bottom"/>
            <w:hideMark/>
          </w:tcPr>
          <w:p w:rsidR="00572D4A" w:rsidRPr="00572D4A" w:rsidRDefault="00572D4A" w:rsidP="00572D4A">
            <w:pPr>
              <w:spacing w:after="0" w:line="240" w:lineRule="auto"/>
              <w:jc w:val="center"/>
              <w:rPr>
                <w:rFonts w:eastAsia="Times New Roman"/>
                <w:bCs/>
                <w:color w:val="000000"/>
                <w:lang w:eastAsia="pt-BR"/>
              </w:rPr>
            </w:pPr>
            <w:r w:rsidRPr="00572D4A">
              <w:rPr>
                <w:rFonts w:eastAsia="Times New Roman"/>
                <w:bCs/>
                <w:color w:val="000000"/>
                <w:lang w:eastAsia="pt-BR"/>
              </w:rPr>
              <w:t>RIR</w:t>
            </w:r>
          </w:p>
        </w:tc>
        <w:tc>
          <w:tcPr>
            <w:tcW w:w="1781" w:type="dxa"/>
            <w:tcBorders>
              <w:top w:val="nil"/>
              <w:left w:val="nil"/>
              <w:bottom w:val="single" w:sz="4" w:space="0" w:color="auto"/>
              <w:right w:val="nil"/>
            </w:tcBorders>
            <w:shd w:val="clear" w:color="000000" w:fill="F2F2F2"/>
            <w:noWrap/>
            <w:vAlign w:val="bottom"/>
            <w:hideMark/>
          </w:tcPr>
          <w:p w:rsidR="00572D4A" w:rsidRPr="00572D4A" w:rsidRDefault="00572D4A" w:rsidP="00572D4A">
            <w:pPr>
              <w:spacing w:after="0" w:line="240" w:lineRule="auto"/>
              <w:rPr>
                <w:rFonts w:eastAsia="Times New Roman"/>
                <w:bCs/>
                <w:i/>
                <w:iCs/>
                <w:color w:val="000000"/>
                <w:lang w:eastAsia="pt-BR"/>
              </w:rPr>
            </w:pPr>
            <w:r w:rsidRPr="00572D4A">
              <w:rPr>
                <w:rFonts w:eastAsia="Times New Roman"/>
                <w:bCs/>
                <w:i/>
                <w:iCs/>
                <w:color w:val="000000"/>
                <w:lang w:eastAsia="pt-BR"/>
              </w:rPr>
              <w:t xml:space="preserve">                      37.729 </w:t>
            </w:r>
          </w:p>
        </w:tc>
        <w:tc>
          <w:tcPr>
            <w:tcW w:w="1428" w:type="dxa"/>
            <w:tcBorders>
              <w:top w:val="nil"/>
              <w:left w:val="single" w:sz="8" w:space="0" w:color="auto"/>
              <w:bottom w:val="single" w:sz="4" w:space="0" w:color="auto"/>
              <w:right w:val="single" w:sz="4" w:space="0" w:color="auto"/>
            </w:tcBorders>
            <w:shd w:val="clear" w:color="000000" w:fill="F2F2F2"/>
            <w:noWrap/>
            <w:vAlign w:val="bottom"/>
            <w:hideMark/>
          </w:tcPr>
          <w:p w:rsidR="00572D4A" w:rsidRPr="00572D4A" w:rsidRDefault="00572D4A" w:rsidP="00572D4A">
            <w:pPr>
              <w:spacing w:after="0" w:line="240" w:lineRule="auto"/>
              <w:rPr>
                <w:rFonts w:eastAsia="Times New Roman"/>
                <w:bCs/>
                <w:color w:val="000000"/>
                <w:lang w:eastAsia="pt-BR"/>
              </w:rPr>
            </w:pPr>
            <w:r w:rsidRPr="00572D4A">
              <w:rPr>
                <w:rFonts w:eastAsia="Times New Roman"/>
                <w:bCs/>
                <w:color w:val="000000"/>
                <w:lang w:eastAsia="pt-BR"/>
              </w:rPr>
              <w:t xml:space="preserve">                  7.764 </w:t>
            </w:r>
          </w:p>
        </w:tc>
      </w:tr>
      <w:tr w:rsidR="00572D4A" w:rsidRPr="00572D4A" w:rsidTr="00B13DE1">
        <w:trPr>
          <w:trHeight w:val="300"/>
        </w:trPr>
        <w:tc>
          <w:tcPr>
            <w:tcW w:w="3148" w:type="dxa"/>
            <w:tcBorders>
              <w:top w:val="nil"/>
              <w:left w:val="single" w:sz="8" w:space="0" w:color="auto"/>
              <w:bottom w:val="single" w:sz="4" w:space="0" w:color="auto"/>
              <w:right w:val="single" w:sz="4" w:space="0" w:color="auto"/>
            </w:tcBorders>
            <w:shd w:val="clear" w:color="000000" w:fill="D8D8D8"/>
            <w:noWrap/>
            <w:vAlign w:val="bottom"/>
            <w:hideMark/>
          </w:tcPr>
          <w:p w:rsidR="00572D4A" w:rsidRPr="00572D4A" w:rsidRDefault="00572D4A" w:rsidP="00572D4A">
            <w:pPr>
              <w:spacing w:after="0" w:line="240" w:lineRule="auto"/>
              <w:rPr>
                <w:rFonts w:eastAsia="Times New Roman"/>
                <w:bCs/>
                <w:color w:val="000000"/>
                <w:lang w:eastAsia="pt-BR"/>
              </w:rPr>
            </w:pPr>
            <w:r w:rsidRPr="00572D4A">
              <w:rPr>
                <w:rFonts w:eastAsia="Times New Roman"/>
                <w:bCs/>
                <w:color w:val="000000"/>
                <w:lang w:eastAsia="pt-BR"/>
              </w:rPr>
              <w:t xml:space="preserve">Ingressos Operacionais </w:t>
            </w:r>
            <w:proofErr w:type="spellStart"/>
            <w:r w:rsidRPr="00572D4A">
              <w:rPr>
                <w:rFonts w:eastAsia="Times New Roman"/>
                <w:bCs/>
                <w:color w:val="000000"/>
                <w:lang w:eastAsia="pt-BR"/>
              </w:rPr>
              <w:t>Liquidos</w:t>
            </w:r>
            <w:proofErr w:type="spellEnd"/>
          </w:p>
        </w:tc>
        <w:tc>
          <w:tcPr>
            <w:tcW w:w="1115" w:type="dxa"/>
            <w:tcBorders>
              <w:top w:val="nil"/>
              <w:left w:val="nil"/>
              <w:bottom w:val="single" w:sz="4" w:space="0" w:color="auto"/>
              <w:right w:val="single" w:sz="4" w:space="0" w:color="auto"/>
            </w:tcBorders>
            <w:shd w:val="clear" w:color="000000" w:fill="D8D8D8"/>
            <w:noWrap/>
            <w:vAlign w:val="bottom"/>
            <w:hideMark/>
          </w:tcPr>
          <w:p w:rsidR="00572D4A" w:rsidRPr="00572D4A" w:rsidRDefault="00572D4A" w:rsidP="00572D4A">
            <w:pPr>
              <w:spacing w:after="0" w:line="240" w:lineRule="auto"/>
              <w:rPr>
                <w:rFonts w:eastAsia="Times New Roman"/>
                <w:bCs/>
                <w:color w:val="000000"/>
                <w:lang w:eastAsia="pt-BR"/>
              </w:rPr>
            </w:pPr>
            <w:r w:rsidRPr="00572D4A">
              <w:rPr>
                <w:rFonts w:eastAsia="Times New Roman"/>
                <w:bCs/>
                <w:color w:val="000000"/>
                <w:lang w:eastAsia="pt-BR"/>
              </w:rPr>
              <w:t> </w:t>
            </w:r>
          </w:p>
        </w:tc>
        <w:tc>
          <w:tcPr>
            <w:tcW w:w="841" w:type="dxa"/>
            <w:tcBorders>
              <w:top w:val="nil"/>
              <w:left w:val="nil"/>
              <w:bottom w:val="single" w:sz="4" w:space="0" w:color="auto"/>
              <w:right w:val="single" w:sz="8" w:space="0" w:color="auto"/>
            </w:tcBorders>
            <w:shd w:val="clear" w:color="000000" w:fill="D8D8D8"/>
            <w:noWrap/>
            <w:vAlign w:val="bottom"/>
            <w:hideMark/>
          </w:tcPr>
          <w:p w:rsidR="00572D4A" w:rsidRPr="00572D4A" w:rsidRDefault="00572D4A" w:rsidP="00572D4A">
            <w:pPr>
              <w:spacing w:after="0" w:line="240" w:lineRule="auto"/>
              <w:jc w:val="center"/>
              <w:rPr>
                <w:rFonts w:eastAsia="Times New Roman"/>
                <w:bCs/>
                <w:color w:val="000000"/>
                <w:lang w:eastAsia="pt-BR"/>
              </w:rPr>
            </w:pPr>
            <w:r w:rsidRPr="00572D4A">
              <w:rPr>
                <w:rFonts w:eastAsia="Times New Roman"/>
                <w:bCs/>
                <w:color w:val="000000"/>
                <w:lang w:eastAsia="pt-BR"/>
              </w:rPr>
              <w:t> </w:t>
            </w:r>
          </w:p>
        </w:tc>
        <w:tc>
          <w:tcPr>
            <w:tcW w:w="1781" w:type="dxa"/>
            <w:tcBorders>
              <w:top w:val="nil"/>
              <w:left w:val="nil"/>
              <w:bottom w:val="single" w:sz="4" w:space="0" w:color="auto"/>
              <w:right w:val="nil"/>
            </w:tcBorders>
            <w:shd w:val="clear" w:color="000000" w:fill="D8D8D8"/>
            <w:noWrap/>
            <w:vAlign w:val="bottom"/>
            <w:hideMark/>
          </w:tcPr>
          <w:p w:rsidR="00572D4A" w:rsidRPr="00572D4A" w:rsidRDefault="00572D4A" w:rsidP="00572D4A">
            <w:pPr>
              <w:spacing w:after="0" w:line="240" w:lineRule="auto"/>
              <w:rPr>
                <w:rFonts w:eastAsia="Times New Roman"/>
                <w:bCs/>
                <w:i/>
                <w:iCs/>
                <w:color w:val="000000"/>
                <w:lang w:eastAsia="pt-BR"/>
              </w:rPr>
            </w:pPr>
            <w:r w:rsidRPr="00572D4A">
              <w:rPr>
                <w:rFonts w:eastAsia="Times New Roman"/>
                <w:bCs/>
                <w:i/>
                <w:iCs/>
                <w:color w:val="000000"/>
                <w:lang w:eastAsia="pt-BR"/>
              </w:rPr>
              <w:t xml:space="preserve">                    935.044 </w:t>
            </w:r>
          </w:p>
        </w:tc>
        <w:tc>
          <w:tcPr>
            <w:tcW w:w="1428" w:type="dxa"/>
            <w:tcBorders>
              <w:top w:val="nil"/>
              <w:left w:val="single" w:sz="8" w:space="0" w:color="auto"/>
              <w:bottom w:val="single" w:sz="4" w:space="0" w:color="auto"/>
              <w:right w:val="single" w:sz="4" w:space="0" w:color="auto"/>
            </w:tcBorders>
            <w:shd w:val="clear" w:color="000000" w:fill="D8D8D8"/>
            <w:noWrap/>
            <w:vAlign w:val="bottom"/>
            <w:hideMark/>
          </w:tcPr>
          <w:p w:rsidR="00572D4A" w:rsidRPr="00572D4A" w:rsidRDefault="00572D4A" w:rsidP="00572D4A">
            <w:pPr>
              <w:spacing w:after="0" w:line="240" w:lineRule="auto"/>
              <w:rPr>
                <w:rFonts w:eastAsia="Times New Roman"/>
                <w:bCs/>
                <w:color w:val="000000"/>
                <w:lang w:eastAsia="pt-BR"/>
              </w:rPr>
            </w:pPr>
            <w:r w:rsidRPr="00572D4A">
              <w:rPr>
                <w:rFonts w:eastAsia="Times New Roman"/>
                <w:bCs/>
                <w:color w:val="000000"/>
                <w:lang w:eastAsia="pt-BR"/>
              </w:rPr>
              <w:t xml:space="preserve">             194.813 </w:t>
            </w:r>
          </w:p>
        </w:tc>
      </w:tr>
      <w:tr w:rsidR="00572D4A" w:rsidRPr="00572D4A" w:rsidTr="00B13DE1">
        <w:trPr>
          <w:trHeight w:val="300"/>
        </w:trPr>
        <w:tc>
          <w:tcPr>
            <w:tcW w:w="3148" w:type="dxa"/>
            <w:tcBorders>
              <w:top w:val="nil"/>
              <w:left w:val="single" w:sz="8" w:space="0" w:color="auto"/>
              <w:bottom w:val="single" w:sz="4" w:space="0" w:color="auto"/>
              <w:right w:val="single" w:sz="4" w:space="0" w:color="auto"/>
            </w:tcBorders>
            <w:shd w:val="clear" w:color="000000" w:fill="F2F2F2"/>
            <w:noWrap/>
            <w:vAlign w:val="bottom"/>
            <w:hideMark/>
          </w:tcPr>
          <w:p w:rsidR="00572D4A" w:rsidRPr="00572D4A" w:rsidRDefault="00572D4A" w:rsidP="00572D4A">
            <w:pPr>
              <w:spacing w:after="0" w:line="240" w:lineRule="auto"/>
              <w:rPr>
                <w:rFonts w:eastAsia="Times New Roman"/>
                <w:bCs/>
                <w:color w:val="000000"/>
                <w:lang w:eastAsia="pt-BR"/>
              </w:rPr>
            </w:pPr>
            <w:r w:rsidRPr="00572D4A">
              <w:rPr>
                <w:rFonts w:eastAsia="Times New Roman"/>
                <w:bCs/>
                <w:color w:val="000000"/>
                <w:lang w:eastAsia="pt-BR"/>
              </w:rPr>
              <w:t>Custos e Despesas</w:t>
            </w:r>
          </w:p>
        </w:tc>
        <w:tc>
          <w:tcPr>
            <w:tcW w:w="1115" w:type="dxa"/>
            <w:tcBorders>
              <w:top w:val="nil"/>
              <w:left w:val="nil"/>
              <w:bottom w:val="single" w:sz="4" w:space="0" w:color="auto"/>
              <w:right w:val="single" w:sz="4" w:space="0" w:color="auto"/>
            </w:tcBorders>
            <w:shd w:val="clear" w:color="000000" w:fill="F2F2F2"/>
            <w:noWrap/>
            <w:vAlign w:val="bottom"/>
            <w:hideMark/>
          </w:tcPr>
          <w:p w:rsidR="00572D4A" w:rsidRPr="00572D4A" w:rsidRDefault="00572D4A" w:rsidP="00572D4A">
            <w:pPr>
              <w:spacing w:after="0" w:line="240" w:lineRule="auto"/>
              <w:rPr>
                <w:rFonts w:eastAsia="Times New Roman"/>
                <w:bCs/>
                <w:color w:val="000000"/>
                <w:lang w:eastAsia="pt-BR"/>
              </w:rPr>
            </w:pPr>
            <w:r w:rsidRPr="00572D4A">
              <w:rPr>
                <w:rFonts w:eastAsia="Times New Roman"/>
                <w:bCs/>
                <w:color w:val="000000"/>
                <w:lang w:eastAsia="pt-BR"/>
              </w:rPr>
              <w:t> </w:t>
            </w:r>
          </w:p>
        </w:tc>
        <w:tc>
          <w:tcPr>
            <w:tcW w:w="841" w:type="dxa"/>
            <w:tcBorders>
              <w:top w:val="nil"/>
              <w:left w:val="nil"/>
              <w:bottom w:val="single" w:sz="4" w:space="0" w:color="auto"/>
              <w:right w:val="single" w:sz="8" w:space="0" w:color="auto"/>
            </w:tcBorders>
            <w:shd w:val="clear" w:color="000000" w:fill="F2F2F2"/>
            <w:noWrap/>
            <w:vAlign w:val="bottom"/>
            <w:hideMark/>
          </w:tcPr>
          <w:p w:rsidR="00572D4A" w:rsidRPr="00572D4A" w:rsidRDefault="00572D4A" w:rsidP="00572D4A">
            <w:pPr>
              <w:spacing w:after="0" w:line="240" w:lineRule="auto"/>
              <w:jc w:val="center"/>
              <w:rPr>
                <w:rFonts w:eastAsia="Times New Roman"/>
                <w:bCs/>
                <w:color w:val="000000"/>
                <w:lang w:eastAsia="pt-BR"/>
              </w:rPr>
            </w:pPr>
            <w:r w:rsidRPr="00572D4A">
              <w:rPr>
                <w:rFonts w:eastAsia="Times New Roman"/>
                <w:bCs/>
                <w:color w:val="000000"/>
                <w:lang w:eastAsia="pt-BR"/>
              </w:rPr>
              <w:t>OPEX</w:t>
            </w:r>
          </w:p>
        </w:tc>
        <w:tc>
          <w:tcPr>
            <w:tcW w:w="1781" w:type="dxa"/>
            <w:tcBorders>
              <w:top w:val="nil"/>
              <w:left w:val="nil"/>
              <w:bottom w:val="single" w:sz="4" w:space="0" w:color="auto"/>
              <w:right w:val="nil"/>
            </w:tcBorders>
            <w:shd w:val="clear" w:color="000000" w:fill="F2F2F2"/>
            <w:noWrap/>
            <w:vAlign w:val="bottom"/>
            <w:hideMark/>
          </w:tcPr>
          <w:p w:rsidR="00572D4A" w:rsidRPr="00572D4A" w:rsidRDefault="00572D4A" w:rsidP="00572D4A">
            <w:pPr>
              <w:spacing w:after="0" w:line="240" w:lineRule="auto"/>
              <w:rPr>
                <w:rFonts w:eastAsia="Times New Roman"/>
                <w:bCs/>
                <w:i/>
                <w:iCs/>
                <w:color w:val="000000"/>
                <w:lang w:eastAsia="pt-BR"/>
              </w:rPr>
            </w:pPr>
            <w:r w:rsidRPr="00572D4A">
              <w:rPr>
                <w:rFonts w:eastAsia="Times New Roman"/>
                <w:bCs/>
                <w:i/>
                <w:iCs/>
                <w:color w:val="000000"/>
                <w:lang w:eastAsia="pt-BR"/>
              </w:rPr>
              <w:t xml:space="preserve">                    556.571 </w:t>
            </w:r>
          </w:p>
        </w:tc>
        <w:tc>
          <w:tcPr>
            <w:tcW w:w="1428" w:type="dxa"/>
            <w:tcBorders>
              <w:top w:val="nil"/>
              <w:left w:val="single" w:sz="8" w:space="0" w:color="auto"/>
              <w:bottom w:val="single" w:sz="4" w:space="0" w:color="auto"/>
              <w:right w:val="single" w:sz="4" w:space="0" w:color="auto"/>
            </w:tcBorders>
            <w:shd w:val="clear" w:color="000000" w:fill="F2F2F2"/>
            <w:noWrap/>
            <w:vAlign w:val="bottom"/>
            <w:hideMark/>
          </w:tcPr>
          <w:p w:rsidR="00572D4A" w:rsidRPr="00572D4A" w:rsidRDefault="00572D4A" w:rsidP="00572D4A">
            <w:pPr>
              <w:spacing w:after="0" w:line="240" w:lineRule="auto"/>
              <w:rPr>
                <w:rFonts w:eastAsia="Times New Roman"/>
                <w:bCs/>
                <w:color w:val="000000"/>
                <w:lang w:eastAsia="pt-BR"/>
              </w:rPr>
            </w:pPr>
            <w:r w:rsidRPr="00572D4A">
              <w:rPr>
                <w:rFonts w:eastAsia="Times New Roman"/>
                <w:bCs/>
                <w:color w:val="000000"/>
                <w:lang w:eastAsia="pt-BR"/>
              </w:rPr>
              <w:t xml:space="preserve">             154.279 </w:t>
            </w:r>
          </w:p>
        </w:tc>
      </w:tr>
      <w:tr w:rsidR="00572D4A" w:rsidRPr="00572D4A" w:rsidTr="00B13DE1">
        <w:trPr>
          <w:trHeight w:val="300"/>
        </w:trPr>
        <w:tc>
          <w:tcPr>
            <w:tcW w:w="3148" w:type="dxa"/>
            <w:tcBorders>
              <w:top w:val="nil"/>
              <w:left w:val="single" w:sz="8" w:space="0" w:color="auto"/>
              <w:bottom w:val="single" w:sz="4" w:space="0" w:color="auto"/>
              <w:right w:val="single" w:sz="4" w:space="0" w:color="auto"/>
            </w:tcBorders>
            <w:shd w:val="clear" w:color="auto" w:fill="auto"/>
            <w:noWrap/>
            <w:vAlign w:val="bottom"/>
            <w:hideMark/>
          </w:tcPr>
          <w:p w:rsidR="00572D4A" w:rsidRPr="00572D4A" w:rsidRDefault="00572D4A" w:rsidP="00572D4A">
            <w:pPr>
              <w:spacing w:after="0" w:line="240" w:lineRule="auto"/>
              <w:rPr>
                <w:rFonts w:eastAsia="Times New Roman"/>
                <w:bCs/>
                <w:lang w:eastAsia="pt-BR"/>
              </w:rPr>
            </w:pPr>
            <w:proofErr w:type="spellStart"/>
            <w:r w:rsidRPr="00572D4A">
              <w:rPr>
                <w:rFonts w:eastAsia="Times New Roman"/>
                <w:bCs/>
                <w:lang w:eastAsia="pt-BR"/>
              </w:rPr>
              <w:t>Depreciacao</w:t>
            </w:r>
            <w:proofErr w:type="spellEnd"/>
          </w:p>
        </w:tc>
        <w:tc>
          <w:tcPr>
            <w:tcW w:w="1115" w:type="dxa"/>
            <w:tcBorders>
              <w:top w:val="nil"/>
              <w:left w:val="nil"/>
              <w:bottom w:val="single" w:sz="4" w:space="0" w:color="auto"/>
              <w:right w:val="single" w:sz="4" w:space="0" w:color="auto"/>
            </w:tcBorders>
            <w:shd w:val="clear" w:color="auto" w:fill="auto"/>
            <w:noWrap/>
            <w:vAlign w:val="bottom"/>
            <w:hideMark/>
          </w:tcPr>
          <w:p w:rsidR="00572D4A" w:rsidRPr="00572D4A" w:rsidRDefault="00572D4A" w:rsidP="00572D4A">
            <w:pPr>
              <w:spacing w:after="0" w:line="240" w:lineRule="auto"/>
              <w:rPr>
                <w:rFonts w:eastAsia="Times New Roman"/>
                <w:bCs/>
                <w:lang w:eastAsia="pt-BR"/>
              </w:rPr>
            </w:pPr>
            <w:r w:rsidRPr="00572D4A">
              <w:rPr>
                <w:rFonts w:eastAsia="Times New Roman"/>
                <w:bCs/>
                <w:lang w:eastAsia="pt-BR"/>
              </w:rPr>
              <w:t> </w:t>
            </w:r>
          </w:p>
        </w:tc>
        <w:tc>
          <w:tcPr>
            <w:tcW w:w="841" w:type="dxa"/>
            <w:tcBorders>
              <w:top w:val="nil"/>
              <w:left w:val="nil"/>
              <w:bottom w:val="single" w:sz="4" w:space="0" w:color="auto"/>
              <w:right w:val="single" w:sz="8" w:space="0" w:color="auto"/>
            </w:tcBorders>
            <w:shd w:val="clear" w:color="auto" w:fill="auto"/>
            <w:noWrap/>
            <w:vAlign w:val="bottom"/>
            <w:hideMark/>
          </w:tcPr>
          <w:p w:rsidR="00572D4A" w:rsidRPr="00572D4A" w:rsidRDefault="00572D4A" w:rsidP="00572D4A">
            <w:pPr>
              <w:spacing w:after="0" w:line="240" w:lineRule="auto"/>
              <w:jc w:val="center"/>
              <w:rPr>
                <w:rFonts w:eastAsia="Times New Roman"/>
                <w:bCs/>
                <w:lang w:eastAsia="pt-BR"/>
              </w:rPr>
            </w:pPr>
            <w:r w:rsidRPr="00572D4A">
              <w:rPr>
                <w:rFonts w:eastAsia="Times New Roman"/>
                <w:bCs/>
                <w:lang w:eastAsia="pt-BR"/>
              </w:rPr>
              <w:t> </w:t>
            </w:r>
          </w:p>
        </w:tc>
        <w:tc>
          <w:tcPr>
            <w:tcW w:w="1781" w:type="dxa"/>
            <w:tcBorders>
              <w:top w:val="nil"/>
              <w:left w:val="nil"/>
              <w:bottom w:val="single" w:sz="4" w:space="0" w:color="auto"/>
              <w:right w:val="nil"/>
            </w:tcBorders>
            <w:shd w:val="clear" w:color="auto" w:fill="auto"/>
            <w:noWrap/>
            <w:vAlign w:val="bottom"/>
            <w:hideMark/>
          </w:tcPr>
          <w:p w:rsidR="00572D4A" w:rsidRPr="00572D4A" w:rsidRDefault="00572D4A" w:rsidP="00572D4A">
            <w:pPr>
              <w:spacing w:after="0" w:line="240" w:lineRule="auto"/>
              <w:rPr>
                <w:rFonts w:eastAsia="Times New Roman"/>
                <w:bCs/>
                <w:lang w:eastAsia="pt-BR"/>
              </w:rPr>
            </w:pPr>
            <w:r w:rsidRPr="00572D4A">
              <w:rPr>
                <w:rFonts w:eastAsia="Times New Roman"/>
                <w:bCs/>
                <w:lang w:eastAsia="pt-BR"/>
              </w:rPr>
              <w:t xml:space="preserve">                       </w:t>
            </w:r>
            <w:r w:rsidRPr="00572D4A">
              <w:rPr>
                <w:rFonts w:eastAsia="Times New Roman"/>
                <w:bCs/>
                <w:lang w:eastAsia="pt-BR"/>
              </w:rPr>
              <w:lastRenderedPageBreak/>
              <w:t xml:space="preserve">95.360 </w:t>
            </w:r>
          </w:p>
        </w:tc>
        <w:tc>
          <w:tcPr>
            <w:tcW w:w="1428" w:type="dxa"/>
            <w:tcBorders>
              <w:top w:val="nil"/>
              <w:left w:val="single" w:sz="8" w:space="0" w:color="auto"/>
              <w:bottom w:val="single" w:sz="4" w:space="0" w:color="auto"/>
              <w:right w:val="single" w:sz="4" w:space="0" w:color="auto"/>
            </w:tcBorders>
            <w:shd w:val="clear" w:color="000000" w:fill="FDE9D9"/>
            <w:noWrap/>
            <w:vAlign w:val="bottom"/>
            <w:hideMark/>
          </w:tcPr>
          <w:p w:rsidR="00572D4A" w:rsidRPr="00572D4A" w:rsidRDefault="00572D4A" w:rsidP="00572D4A">
            <w:pPr>
              <w:spacing w:after="0" w:line="240" w:lineRule="auto"/>
              <w:rPr>
                <w:rFonts w:eastAsia="Times New Roman"/>
                <w:bCs/>
                <w:lang w:eastAsia="pt-BR"/>
              </w:rPr>
            </w:pPr>
            <w:r w:rsidRPr="00572D4A">
              <w:rPr>
                <w:rFonts w:eastAsia="Times New Roman"/>
                <w:bCs/>
                <w:lang w:eastAsia="pt-BR"/>
              </w:rPr>
              <w:lastRenderedPageBreak/>
              <w:t xml:space="preserve">               </w:t>
            </w:r>
            <w:r w:rsidRPr="00572D4A">
              <w:rPr>
                <w:rFonts w:eastAsia="Times New Roman"/>
                <w:bCs/>
                <w:lang w:eastAsia="pt-BR"/>
              </w:rPr>
              <w:lastRenderedPageBreak/>
              <w:t xml:space="preserve">11.511 </w:t>
            </w:r>
          </w:p>
        </w:tc>
      </w:tr>
      <w:tr w:rsidR="00572D4A" w:rsidRPr="00572D4A" w:rsidTr="00B13DE1">
        <w:trPr>
          <w:trHeight w:val="300"/>
        </w:trPr>
        <w:tc>
          <w:tcPr>
            <w:tcW w:w="3148" w:type="dxa"/>
            <w:tcBorders>
              <w:top w:val="nil"/>
              <w:left w:val="single" w:sz="8" w:space="0" w:color="auto"/>
              <w:bottom w:val="single" w:sz="4" w:space="0" w:color="auto"/>
              <w:right w:val="single" w:sz="4" w:space="0" w:color="auto"/>
            </w:tcBorders>
            <w:shd w:val="clear" w:color="000000" w:fill="F2F2F2"/>
            <w:noWrap/>
            <w:vAlign w:val="bottom"/>
            <w:hideMark/>
          </w:tcPr>
          <w:p w:rsidR="00572D4A" w:rsidRPr="00572D4A" w:rsidRDefault="00572D4A" w:rsidP="00572D4A">
            <w:pPr>
              <w:spacing w:after="0" w:line="240" w:lineRule="auto"/>
              <w:rPr>
                <w:rFonts w:eastAsia="Times New Roman"/>
                <w:bCs/>
                <w:color w:val="000000"/>
                <w:lang w:eastAsia="pt-BR"/>
              </w:rPr>
            </w:pPr>
            <w:r w:rsidRPr="00572D4A">
              <w:rPr>
                <w:rFonts w:eastAsia="Times New Roman"/>
                <w:bCs/>
                <w:color w:val="000000"/>
                <w:lang w:eastAsia="pt-BR"/>
              </w:rPr>
              <w:lastRenderedPageBreak/>
              <w:t xml:space="preserve">Taxa de </w:t>
            </w:r>
            <w:proofErr w:type="spellStart"/>
            <w:r w:rsidRPr="00572D4A">
              <w:rPr>
                <w:rFonts w:eastAsia="Times New Roman"/>
                <w:bCs/>
                <w:color w:val="000000"/>
                <w:lang w:eastAsia="pt-BR"/>
              </w:rPr>
              <w:t>Regulacao</w:t>
            </w:r>
            <w:proofErr w:type="spellEnd"/>
          </w:p>
        </w:tc>
        <w:tc>
          <w:tcPr>
            <w:tcW w:w="1115" w:type="dxa"/>
            <w:tcBorders>
              <w:top w:val="nil"/>
              <w:left w:val="nil"/>
              <w:bottom w:val="single" w:sz="4" w:space="0" w:color="auto"/>
              <w:right w:val="single" w:sz="4" w:space="0" w:color="auto"/>
            </w:tcBorders>
            <w:shd w:val="clear" w:color="000000" w:fill="F2F2F2"/>
            <w:noWrap/>
            <w:vAlign w:val="bottom"/>
            <w:hideMark/>
          </w:tcPr>
          <w:p w:rsidR="00572D4A" w:rsidRPr="00572D4A" w:rsidRDefault="00572D4A" w:rsidP="00572D4A">
            <w:pPr>
              <w:spacing w:after="0" w:line="240" w:lineRule="auto"/>
              <w:jc w:val="right"/>
              <w:rPr>
                <w:rFonts w:eastAsia="Times New Roman"/>
                <w:bCs/>
                <w:color w:val="000000"/>
                <w:lang w:eastAsia="pt-BR"/>
              </w:rPr>
            </w:pPr>
            <w:r w:rsidRPr="00572D4A">
              <w:rPr>
                <w:rFonts w:eastAsia="Times New Roman"/>
                <w:bCs/>
                <w:color w:val="000000"/>
                <w:lang w:eastAsia="pt-BR"/>
              </w:rPr>
              <w:t>0,50%</w:t>
            </w:r>
          </w:p>
        </w:tc>
        <w:tc>
          <w:tcPr>
            <w:tcW w:w="841" w:type="dxa"/>
            <w:tcBorders>
              <w:top w:val="nil"/>
              <w:left w:val="nil"/>
              <w:bottom w:val="single" w:sz="4" w:space="0" w:color="auto"/>
              <w:right w:val="single" w:sz="8" w:space="0" w:color="auto"/>
            </w:tcBorders>
            <w:shd w:val="clear" w:color="000000" w:fill="F2F2F2"/>
            <w:noWrap/>
            <w:vAlign w:val="bottom"/>
            <w:hideMark/>
          </w:tcPr>
          <w:p w:rsidR="00572D4A" w:rsidRPr="00572D4A" w:rsidRDefault="00572D4A" w:rsidP="00572D4A">
            <w:pPr>
              <w:spacing w:after="0" w:line="240" w:lineRule="auto"/>
              <w:jc w:val="center"/>
              <w:rPr>
                <w:rFonts w:eastAsia="Times New Roman"/>
                <w:bCs/>
                <w:color w:val="000000"/>
                <w:lang w:eastAsia="pt-BR"/>
              </w:rPr>
            </w:pPr>
            <w:r w:rsidRPr="00572D4A">
              <w:rPr>
                <w:rFonts w:eastAsia="Times New Roman"/>
                <w:bCs/>
                <w:color w:val="000000"/>
                <w:lang w:eastAsia="pt-BR"/>
              </w:rPr>
              <w:t>TREG</w:t>
            </w:r>
          </w:p>
        </w:tc>
        <w:tc>
          <w:tcPr>
            <w:tcW w:w="1781" w:type="dxa"/>
            <w:tcBorders>
              <w:top w:val="nil"/>
              <w:left w:val="nil"/>
              <w:bottom w:val="single" w:sz="4" w:space="0" w:color="auto"/>
              <w:right w:val="nil"/>
            </w:tcBorders>
            <w:shd w:val="clear" w:color="000000" w:fill="F2F2F2"/>
            <w:noWrap/>
            <w:vAlign w:val="bottom"/>
            <w:hideMark/>
          </w:tcPr>
          <w:p w:rsidR="00572D4A" w:rsidRPr="00572D4A" w:rsidRDefault="00572D4A" w:rsidP="00572D4A">
            <w:pPr>
              <w:spacing w:after="0" w:line="240" w:lineRule="auto"/>
              <w:rPr>
                <w:rFonts w:eastAsia="Times New Roman"/>
                <w:bCs/>
                <w:i/>
                <w:iCs/>
                <w:color w:val="000000"/>
                <w:lang w:eastAsia="pt-BR"/>
              </w:rPr>
            </w:pPr>
            <w:r w:rsidRPr="00572D4A">
              <w:rPr>
                <w:rFonts w:eastAsia="Times New Roman"/>
                <w:bCs/>
                <w:i/>
                <w:iCs/>
                <w:color w:val="000000"/>
                <w:lang w:eastAsia="pt-BR"/>
              </w:rPr>
              <w:t xml:space="preserve">                        4.304 </w:t>
            </w:r>
          </w:p>
        </w:tc>
        <w:tc>
          <w:tcPr>
            <w:tcW w:w="1428" w:type="dxa"/>
            <w:tcBorders>
              <w:top w:val="nil"/>
              <w:left w:val="single" w:sz="8" w:space="0" w:color="auto"/>
              <w:bottom w:val="single" w:sz="4" w:space="0" w:color="auto"/>
              <w:right w:val="single" w:sz="4" w:space="0" w:color="auto"/>
            </w:tcBorders>
            <w:shd w:val="clear" w:color="000000" w:fill="F2F2F2"/>
            <w:noWrap/>
            <w:vAlign w:val="bottom"/>
            <w:hideMark/>
          </w:tcPr>
          <w:p w:rsidR="00572D4A" w:rsidRPr="00572D4A" w:rsidRDefault="00572D4A" w:rsidP="00572D4A">
            <w:pPr>
              <w:spacing w:after="0" w:line="240" w:lineRule="auto"/>
              <w:rPr>
                <w:rFonts w:eastAsia="Times New Roman"/>
                <w:bCs/>
                <w:color w:val="000000"/>
                <w:lang w:eastAsia="pt-BR"/>
              </w:rPr>
            </w:pPr>
            <w:r w:rsidRPr="00572D4A">
              <w:rPr>
                <w:rFonts w:eastAsia="Times New Roman"/>
                <w:bCs/>
                <w:color w:val="000000"/>
                <w:lang w:eastAsia="pt-BR"/>
              </w:rPr>
              <w:t xml:space="preserve">                     693 </w:t>
            </w:r>
          </w:p>
        </w:tc>
      </w:tr>
      <w:tr w:rsidR="00572D4A" w:rsidRPr="00572D4A" w:rsidTr="00B13DE1">
        <w:trPr>
          <w:trHeight w:val="300"/>
        </w:trPr>
        <w:tc>
          <w:tcPr>
            <w:tcW w:w="3148" w:type="dxa"/>
            <w:tcBorders>
              <w:top w:val="nil"/>
              <w:left w:val="single" w:sz="8" w:space="0" w:color="auto"/>
              <w:bottom w:val="single" w:sz="4" w:space="0" w:color="auto"/>
              <w:right w:val="single" w:sz="4" w:space="0" w:color="auto"/>
            </w:tcBorders>
            <w:shd w:val="clear" w:color="000000" w:fill="F2F2F2"/>
            <w:noWrap/>
            <w:vAlign w:val="bottom"/>
            <w:hideMark/>
          </w:tcPr>
          <w:p w:rsidR="00572D4A" w:rsidRPr="00572D4A" w:rsidRDefault="00572D4A" w:rsidP="00572D4A">
            <w:pPr>
              <w:spacing w:after="0" w:line="240" w:lineRule="auto"/>
              <w:rPr>
                <w:rFonts w:eastAsia="Times New Roman"/>
                <w:bCs/>
                <w:color w:val="000000"/>
                <w:lang w:eastAsia="pt-BR"/>
              </w:rPr>
            </w:pPr>
            <w:r w:rsidRPr="00572D4A">
              <w:rPr>
                <w:rFonts w:eastAsia="Times New Roman"/>
                <w:bCs/>
                <w:color w:val="000000"/>
                <w:lang w:eastAsia="pt-BR"/>
              </w:rPr>
              <w:t>Imp. Diretos (IR/CSLL</w:t>
            </w:r>
            <w:proofErr w:type="gramStart"/>
            <w:r w:rsidRPr="00572D4A">
              <w:rPr>
                <w:rFonts w:eastAsia="Times New Roman"/>
                <w:bCs/>
                <w:color w:val="000000"/>
                <w:lang w:eastAsia="pt-BR"/>
              </w:rPr>
              <w:t>)</w:t>
            </w:r>
            <w:proofErr w:type="gramEnd"/>
          </w:p>
        </w:tc>
        <w:tc>
          <w:tcPr>
            <w:tcW w:w="1115" w:type="dxa"/>
            <w:tcBorders>
              <w:top w:val="nil"/>
              <w:left w:val="nil"/>
              <w:bottom w:val="single" w:sz="4" w:space="0" w:color="auto"/>
              <w:right w:val="single" w:sz="4" w:space="0" w:color="auto"/>
            </w:tcBorders>
            <w:shd w:val="clear" w:color="000000" w:fill="F2F2F2"/>
            <w:noWrap/>
            <w:vAlign w:val="bottom"/>
            <w:hideMark/>
          </w:tcPr>
          <w:p w:rsidR="00572D4A" w:rsidRPr="00572D4A" w:rsidRDefault="00572D4A" w:rsidP="00572D4A">
            <w:pPr>
              <w:spacing w:after="0" w:line="240" w:lineRule="auto"/>
              <w:rPr>
                <w:rFonts w:eastAsia="Times New Roman"/>
                <w:bCs/>
                <w:color w:val="000000"/>
                <w:lang w:eastAsia="pt-BR"/>
              </w:rPr>
            </w:pPr>
            <w:r w:rsidRPr="00572D4A">
              <w:rPr>
                <w:rFonts w:eastAsia="Times New Roman"/>
                <w:bCs/>
                <w:color w:val="000000"/>
                <w:lang w:eastAsia="pt-BR"/>
              </w:rPr>
              <w:t> </w:t>
            </w:r>
          </w:p>
        </w:tc>
        <w:tc>
          <w:tcPr>
            <w:tcW w:w="841" w:type="dxa"/>
            <w:tcBorders>
              <w:top w:val="nil"/>
              <w:left w:val="nil"/>
              <w:bottom w:val="single" w:sz="4" w:space="0" w:color="auto"/>
              <w:right w:val="single" w:sz="8" w:space="0" w:color="auto"/>
            </w:tcBorders>
            <w:shd w:val="clear" w:color="000000" w:fill="F2F2F2"/>
            <w:noWrap/>
            <w:vAlign w:val="bottom"/>
            <w:hideMark/>
          </w:tcPr>
          <w:p w:rsidR="00572D4A" w:rsidRPr="00572D4A" w:rsidRDefault="00572D4A" w:rsidP="00572D4A">
            <w:pPr>
              <w:spacing w:after="0" w:line="240" w:lineRule="auto"/>
              <w:jc w:val="center"/>
              <w:rPr>
                <w:rFonts w:eastAsia="Times New Roman"/>
                <w:bCs/>
                <w:color w:val="000000"/>
                <w:lang w:eastAsia="pt-BR"/>
              </w:rPr>
            </w:pPr>
            <w:r w:rsidRPr="00572D4A">
              <w:rPr>
                <w:rFonts w:eastAsia="Times New Roman"/>
                <w:bCs/>
                <w:color w:val="000000"/>
                <w:lang w:eastAsia="pt-BR"/>
              </w:rPr>
              <w:t>IR</w:t>
            </w:r>
          </w:p>
        </w:tc>
        <w:tc>
          <w:tcPr>
            <w:tcW w:w="1781" w:type="dxa"/>
            <w:tcBorders>
              <w:top w:val="nil"/>
              <w:left w:val="nil"/>
              <w:bottom w:val="single" w:sz="4" w:space="0" w:color="auto"/>
              <w:right w:val="nil"/>
            </w:tcBorders>
            <w:shd w:val="clear" w:color="000000" w:fill="F2F2F2"/>
            <w:noWrap/>
            <w:vAlign w:val="bottom"/>
            <w:hideMark/>
          </w:tcPr>
          <w:p w:rsidR="00572D4A" w:rsidRPr="00572D4A" w:rsidRDefault="00572D4A" w:rsidP="00572D4A">
            <w:pPr>
              <w:spacing w:after="0" w:line="240" w:lineRule="auto"/>
              <w:rPr>
                <w:rFonts w:eastAsia="Times New Roman"/>
                <w:bCs/>
                <w:i/>
                <w:iCs/>
                <w:color w:val="000000"/>
                <w:lang w:eastAsia="pt-BR"/>
              </w:rPr>
            </w:pPr>
            <w:r w:rsidRPr="00572D4A">
              <w:rPr>
                <w:rFonts w:eastAsia="Times New Roman"/>
                <w:bCs/>
                <w:i/>
                <w:iCs/>
                <w:color w:val="000000"/>
                <w:lang w:eastAsia="pt-BR"/>
              </w:rPr>
              <w:t xml:space="preserve">                      94.795 </w:t>
            </w:r>
          </w:p>
        </w:tc>
        <w:tc>
          <w:tcPr>
            <w:tcW w:w="1428" w:type="dxa"/>
            <w:tcBorders>
              <w:top w:val="nil"/>
              <w:left w:val="single" w:sz="8" w:space="0" w:color="auto"/>
              <w:bottom w:val="single" w:sz="4" w:space="0" w:color="auto"/>
              <w:right w:val="single" w:sz="4" w:space="0" w:color="auto"/>
            </w:tcBorders>
            <w:shd w:val="clear" w:color="000000" w:fill="F2F2F2"/>
            <w:noWrap/>
            <w:vAlign w:val="bottom"/>
            <w:hideMark/>
          </w:tcPr>
          <w:p w:rsidR="00572D4A" w:rsidRPr="00572D4A" w:rsidRDefault="00572D4A" w:rsidP="00572D4A">
            <w:pPr>
              <w:spacing w:after="0" w:line="240" w:lineRule="auto"/>
              <w:rPr>
                <w:rFonts w:eastAsia="Times New Roman"/>
                <w:bCs/>
                <w:color w:val="000000"/>
                <w:lang w:eastAsia="pt-BR"/>
              </w:rPr>
            </w:pPr>
            <w:r w:rsidRPr="00572D4A">
              <w:rPr>
                <w:rFonts w:eastAsia="Times New Roman"/>
                <w:bCs/>
                <w:color w:val="000000"/>
                <w:lang w:eastAsia="pt-BR"/>
              </w:rPr>
              <w:t xml:space="preserve">                  9.632 </w:t>
            </w:r>
          </w:p>
        </w:tc>
      </w:tr>
      <w:tr w:rsidR="00572D4A" w:rsidRPr="00572D4A" w:rsidTr="00B13DE1">
        <w:trPr>
          <w:trHeight w:val="300"/>
        </w:trPr>
        <w:tc>
          <w:tcPr>
            <w:tcW w:w="3148" w:type="dxa"/>
            <w:tcBorders>
              <w:top w:val="nil"/>
              <w:left w:val="single" w:sz="8" w:space="0" w:color="auto"/>
              <w:bottom w:val="single" w:sz="4" w:space="0" w:color="auto"/>
              <w:right w:val="single" w:sz="4" w:space="0" w:color="auto"/>
            </w:tcBorders>
            <w:shd w:val="clear" w:color="auto" w:fill="auto"/>
            <w:noWrap/>
            <w:vAlign w:val="bottom"/>
            <w:hideMark/>
          </w:tcPr>
          <w:p w:rsidR="00572D4A" w:rsidRPr="00572D4A" w:rsidRDefault="00572D4A" w:rsidP="00572D4A">
            <w:pPr>
              <w:spacing w:after="0" w:line="240" w:lineRule="auto"/>
              <w:ind w:firstLineChars="100" w:firstLine="220"/>
              <w:rPr>
                <w:rFonts w:eastAsia="Times New Roman"/>
                <w:color w:val="000000"/>
                <w:lang w:eastAsia="pt-BR"/>
              </w:rPr>
            </w:pPr>
            <w:r w:rsidRPr="00572D4A">
              <w:rPr>
                <w:rFonts w:eastAsia="Times New Roman"/>
                <w:color w:val="000000"/>
                <w:lang w:eastAsia="pt-BR"/>
              </w:rPr>
              <w:t>IR</w:t>
            </w:r>
          </w:p>
        </w:tc>
        <w:tc>
          <w:tcPr>
            <w:tcW w:w="1115" w:type="dxa"/>
            <w:tcBorders>
              <w:top w:val="nil"/>
              <w:left w:val="nil"/>
              <w:bottom w:val="single" w:sz="4" w:space="0" w:color="auto"/>
              <w:right w:val="single" w:sz="4" w:space="0" w:color="auto"/>
            </w:tcBorders>
            <w:shd w:val="clear" w:color="auto" w:fill="auto"/>
            <w:noWrap/>
            <w:vAlign w:val="bottom"/>
            <w:hideMark/>
          </w:tcPr>
          <w:p w:rsidR="00572D4A" w:rsidRPr="00572D4A" w:rsidRDefault="00572D4A" w:rsidP="00572D4A">
            <w:pPr>
              <w:spacing w:after="0" w:line="240" w:lineRule="auto"/>
              <w:ind w:firstLineChars="100" w:firstLine="220"/>
              <w:rPr>
                <w:rFonts w:eastAsia="Times New Roman"/>
                <w:color w:val="000000"/>
                <w:lang w:eastAsia="pt-BR"/>
              </w:rPr>
            </w:pPr>
            <w:r w:rsidRPr="00572D4A">
              <w:rPr>
                <w:rFonts w:eastAsia="Times New Roman"/>
                <w:color w:val="000000"/>
                <w:lang w:eastAsia="pt-BR"/>
              </w:rPr>
              <w:t>25%</w:t>
            </w:r>
          </w:p>
        </w:tc>
        <w:tc>
          <w:tcPr>
            <w:tcW w:w="841" w:type="dxa"/>
            <w:tcBorders>
              <w:top w:val="nil"/>
              <w:left w:val="nil"/>
              <w:bottom w:val="single" w:sz="4" w:space="0" w:color="auto"/>
              <w:right w:val="single" w:sz="8" w:space="0" w:color="auto"/>
            </w:tcBorders>
            <w:shd w:val="clear" w:color="auto" w:fill="auto"/>
            <w:noWrap/>
            <w:vAlign w:val="bottom"/>
            <w:hideMark/>
          </w:tcPr>
          <w:p w:rsidR="00572D4A" w:rsidRPr="00572D4A" w:rsidRDefault="00572D4A" w:rsidP="00572D4A">
            <w:pPr>
              <w:spacing w:after="0" w:line="240" w:lineRule="auto"/>
              <w:jc w:val="center"/>
              <w:rPr>
                <w:rFonts w:eastAsia="Times New Roman"/>
                <w:color w:val="000000"/>
                <w:lang w:eastAsia="pt-BR"/>
              </w:rPr>
            </w:pPr>
            <w:r w:rsidRPr="00572D4A">
              <w:rPr>
                <w:rFonts w:eastAsia="Times New Roman"/>
                <w:color w:val="000000"/>
                <w:lang w:eastAsia="pt-BR"/>
              </w:rPr>
              <w:t> </w:t>
            </w:r>
          </w:p>
        </w:tc>
        <w:tc>
          <w:tcPr>
            <w:tcW w:w="1781" w:type="dxa"/>
            <w:tcBorders>
              <w:top w:val="nil"/>
              <w:left w:val="nil"/>
              <w:bottom w:val="single" w:sz="4" w:space="0" w:color="auto"/>
              <w:right w:val="nil"/>
            </w:tcBorders>
            <w:shd w:val="clear" w:color="auto" w:fill="auto"/>
            <w:noWrap/>
            <w:vAlign w:val="bottom"/>
            <w:hideMark/>
          </w:tcPr>
          <w:p w:rsidR="00572D4A" w:rsidRPr="00572D4A" w:rsidRDefault="00572D4A" w:rsidP="00572D4A">
            <w:pPr>
              <w:spacing w:after="0" w:line="240" w:lineRule="auto"/>
              <w:ind w:firstLineChars="100" w:firstLine="220"/>
              <w:rPr>
                <w:rFonts w:eastAsia="Times New Roman"/>
                <w:i/>
                <w:iCs/>
                <w:color w:val="000000"/>
                <w:lang w:eastAsia="pt-BR"/>
              </w:rPr>
            </w:pPr>
            <w:r w:rsidRPr="00572D4A">
              <w:rPr>
                <w:rFonts w:eastAsia="Times New Roman"/>
                <w:i/>
                <w:iCs/>
                <w:color w:val="000000"/>
                <w:lang w:eastAsia="pt-BR"/>
              </w:rPr>
              <w:t xml:space="preserve">                   69.702 </w:t>
            </w:r>
          </w:p>
        </w:tc>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572D4A" w:rsidRPr="00572D4A" w:rsidRDefault="00572D4A" w:rsidP="00572D4A">
            <w:pPr>
              <w:spacing w:after="0" w:line="240" w:lineRule="auto"/>
              <w:ind w:firstLineChars="100" w:firstLine="220"/>
              <w:rPr>
                <w:rFonts w:eastAsia="Times New Roman"/>
                <w:color w:val="000000"/>
                <w:lang w:eastAsia="pt-BR"/>
              </w:rPr>
            </w:pPr>
            <w:r w:rsidRPr="00572D4A">
              <w:rPr>
                <w:rFonts w:eastAsia="Times New Roman"/>
                <w:color w:val="000000"/>
                <w:lang w:eastAsia="pt-BR"/>
              </w:rPr>
              <w:t xml:space="preserve">               7.083 </w:t>
            </w:r>
          </w:p>
        </w:tc>
      </w:tr>
      <w:tr w:rsidR="00572D4A" w:rsidRPr="00572D4A" w:rsidTr="00B13DE1">
        <w:trPr>
          <w:trHeight w:val="300"/>
        </w:trPr>
        <w:tc>
          <w:tcPr>
            <w:tcW w:w="3148" w:type="dxa"/>
            <w:tcBorders>
              <w:top w:val="nil"/>
              <w:left w:val="single" w:sz="8" w:space="0" w:color="auto"/>
              <w:bottom w:val="single" w:sz="4" w:space="0" w:color="auto"/>
              <w:right w:val="single" w:sz="4" w:space="0" w:color="auto"/>
            </w:tcBorders>
            <w:shd w:val="clear" w:color="auto" w:fill="auto"/>
            <w:noWrap/>
            <w:vAlign w:val="bottom"/>
            <w:hideMark/>
          </w:tcPr>
          <w:p w:rsidR="00572D4A" w:rsidRPr="00572D4A" w:rsidRDefault="00572D4A" w:rsidP="00572D4A">
            <w:pPr>
              <w:spacing w:after="0" w:line="240" w:lineRule="auto"/>
              <w:ind w:firstLineChars="100" w:firstLine="220"/>
              <w:rPr>
                <w:rFonts w:eastAsia="Times New Roman"/>
                <w:color w:val="000000"/>
                <w:lang w:eastAsia="pt-BR"/>
              </w:rPr>
            </w:pPr>
            <w:r w:rsidRPr="00572D4A">
              <w:rPr>
                <w:rFonts w:eastAsia="Times New Roman"/>
                <w:color w:val="000000"/>
                <w:lang w:eastAsia="pt-BR"/>
              </w:rPr>
              <w:t>CSLL</w:t>
            </w:r>
          </w:p>
        </w:tc>
        <w:tc>
          <w:tcPr>
            <w:tcW w:w="1115" w:type="dxa"/>
            <w:tcBorders>
              <w:top w:val="nil"/>
              <w:left w:val="nil"/>
              <w:bottom w:val="single" w:sz="4" w:space="0" w:color="auto"/>
              <w:right w:val="single" w:sz="4" w:space="0" w:color="auto"/>
            </w:tcBorders>
            <w:shd w:val="clear" w:color="auto" w:fill="auto"/>
            <w:noWrap/>
            <w:vAlign w:val="bottom"/>
            <w:hideMark/>
          </w:tcPr>
          <w:p w:rsidR="00572D4A" w:rsidRPr="00572D4A" w:rsidRDefault="00572D4A" w:rsidP="00572D4A">
            <w:pPr>
              <w:spacing w:after="0" w:line="240" w:lineRule="auto"/>
              <w:ind w:firstLineChars="100" w:firstLine="220"/>
              <w:rPr>
                <w:rFonts w:eastAsia="Times New Roman"/>
                <w:color w:val="000000"/>
                <w:lang w:eastAsia="pt-BR"/>
              </w:rPr>
            </w:pPr>
            <w:r w:rsidRPr="00572D4A">
              <w:rPr>
                <w:rFonts w:eastAsia="Times New Roman"/>
                <w:color w:val="000000"/>
                <w:lang w:eastAsia="pt-BR"/>
              </w:rPr>
              <w:t>9%</w:t>
            </w:r>
          </w:p>
        </w:tc>
        <w:tc>
          <w:tcPr>
            <w:tcW w:w="841" w:type="dxa"/>
            <w:tcBorders>
              <w:top w:val="nil"/>
              <w:left w:val="nil"/>
              <w:bottom w:val="single" w:sz="4" w:space="0" w:color="auto"/>
              <w:right w:val="single" w:sz="8" w:space="0" w:color="auto"/>
            </w:tcBorders>
            <w:shd w:val="clear" w:color="auto" w:fill="auto"/>
            <w:noWrap/>
            <w:vAlign w:val="bottom"/>
            <w:hideMark/>
          </w:tcPr>
          <w:p w:rsidR="00572D4A" w:rsidRPr="00572D4A" w:rsidRDefault="00572D4A" w:rsidP="00572D4A">
            <w:pPr>
              <w:spacing w:after="0" w:line="240" w:lineRule="auto"/>
              <w:jc w:val="center"/>
              <w:rPr>
                <w:rFonts w:eastAsia="Times New Roman"/>
                <w:color w:val="000000"/>
                <w:lang w:eastAsia="pt-BR"/>
              </w:rPr>
            </w:pPr>
            <w:r w:rsidRPr="00572D4A">
              <w:rPr>
                <w:rFonts w:eastAsia="Times New Roman"/>
                <w:color w:val="000000"/>
                <w:lang w:eastAsia="pt-BR"/>
              </w:rPr>
              <w:t> </w:t>
            </w:r>
          </w:p>
        </w:tc>
        <w:tc>
          <w:tcPr>
            <w:tcW w:w="1781" w:type="dxa"/>
            <w:tcBorders>
              <w:top w:val="nil"/>
              <w:left w:val="nil"/>
              <w:bottom w:val="single" w:sz="4" w:space="0" w:color="auto"/>
              <w:right w:val="nil"/>
            </w:tcBorders>
            <w:shd w:val="clear" w:color="auto" w:fill="auto"/>
            <w:noWrap/>
            <w:vAlign w:val="bottom"/>
            <w:hideMark/>
          </w:tcPr>
          <w:p w:rsidR="00572D4A" w:rsidRPr="00572D4A" w:rsidRDefault="00572D4A" w:rsidP="00572D4A">
            <w:pPr>
              <w:spacing w:after="0" w:line="240" w:lineRule="auto"/>
              <w:ind w:firstLineChars="100" w:firstLine="220"/>
              <w:rPr>
                <w:rFonts w:eastAsia="Times New Roman"/>
                <w:i/>
                <w:iCs/>
                <w:color w:val="000000"/>
                <w:lang w:eastAsia="pt-BR"/>
              </w:rPr>
            </w:pPr>
            <w:r w:rsidRPr="00572D4A">
              <w:rPr>
                <w:rFonts w:eastAsia="Times New Roman"/>
                <w:i/>
                <w:iCs/>
                <w:color w:val="000000"/>
                <w:lang w:eastAsia="pt-BR"/>
              </w:rPr>
              <w:t xml:space="preserve">                   25.093 </w:t>
            </w:r>
          </w:p>
        </w:tc>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572D4A" w:rsidRPr="00572D4A" w:rsidRDefault="00572D4A" w:rsidP="00572D4A">
            <w:pPr>
              <w:spacing w:after="0" w:line="240" w:lineRule="auto"/>
              <w:ind w:firstLineChars="100" w:firstLine="220"/>
              <w:rPr>
                <w:rFonts w:eastAsia="Times New Roman"/>
                <w:color w:val="000000"/>
                <w:lang w:eastAsia="pt-BR"/>
              </w:rPr>
            </w:pPr>
            <w:r w:rsidRPr="00572D4A">
              <w:rPr>
                <w:rFonts w:eastAsia="Times New Roman"/>
                <w:color w:val="000000"/>
                <w:lang w:eastAsia="pt-BR"/>
              </w:rPr>
              <w:t xml:space="preserve">               2.550 </w:t>
            </w:r>
          </w:p>
        </w:tc>
      </w:tr>
      <w:tr w:rsidR="00572D4A" w:rsidRPr="00572D4A" w:rsidTr="00B13DE1">
        <w:trPr>
          <w:trHeight w:val="300"/>
        </w:trPr>
        <w:tc>
          <w:tcPr>
            <w:tcW w:w="3148" w:type="dxa"/>
            <w:tcBorders>
              <w:top w:val="nil"/>
              <w:left w:val="single" w:sz="8" w:space="0" w:color="auto"/>
              <w:bottom w:val="single" w:sz="4" w:space="0" w:color="auto"/>
              <w:right w:val="single" w:sz="4" w:space="0" w:color="auto"/>
            </w:tcBorders>
            <w:shd w:val="clear" w:color="000000" w:fill="F2F2F2"/>
            <w:noWrap/>
            <w:vAlign w:val="bottom"/>
            <w:hideMark/>
          </w:tcPr>
          <w:p w:rsidR="00572D4A" w:rsidRPr="00572D4A" w:rsidRDefault="00572D4A" w:rsidP="00572D4A">
            <w:pPr>
              <w:spacing w:after="0" w:line="240" w:lineRule="auto"/>
              <w:rPr>
                <w:rFonts w:eastAsia="Times New Roman"/>
                <w:bCs/>
                <w:color w:val="000000"/>
                <w:lang w:eastAsia="pt-BR"/>
              </w:rPr>
            </w:pPr>
            <w:r w:rsidRPr="00572D4A">
              <w:rPr>
                <w:rFonts w:eastAsia="Times New Roman"/>
                <w:bCs/>
                <w:color w:val="000000"/>
                <w:lang w:eastAsia="pt-BR"/>
              </w:rPr>
              <w:t>Investimentos</w:t>
            </w:r>
          </w:p>
        </w:tc>
        <w:tc>
          <w:tcPr>
            <w:tcW w:w="1115" w:type="dxa"/>
            <w:tcBorders>
              <w:top w:val="nil"/>
              <w:left w:val="nil"/>
              <w:bottom w:val="single" w:sz="4" w:space="0" w:color="auto"/>
              <w:right w:val="single" w:sz="4" w:space="0" w:color="auto"/>
            </w:tcBorders>
            <w:shd w:val="clear" w:color="000000" w:fill="F2F2F2"/>
            <w:noWrap/>
            <w:vAlign w:val="bottom"/>
            <w:hideMark/>
          </w:tcPr>
          <w:p w:rsidR="00572D4A" w:rsidRPr="00572D4A" w:rsidRDefault="00572D4A" w:rsidP="00572D4A">
            <w:pPr>
              <w:spacing w:after="0" w:line="240" w:lineRule="auto"/>
              <w:rPr>
                <w:rFonts w:eastAsia="Times New Roman"/>
                <w:bCs/>
                <w:color w:val="000000"/>
                <w:lang w:eastAsia="pt-BR"/>
              </w:rPr>
            </w:pPr>
            <w:r w:rsidRPr="00572D4A">
              <w:rPr>
                <w:rFonts w:eastAsia="Times New Roman"/>
                <w:bCs/>
                <w:color w:val="000000"/>
                <w:lang w:eastAsia="pt-BR"/>
              </w:rPr>
              <w:t> </w:t>
            </w:r>
          </w:p>
        </w:tc>
        <w:tc>
          <w:tcPr>
            <w:tcW w:w="841" w:type="dxa"/>
            <w:tcBorders>
              <w:top w:val="nil"/>
              <w:left w:val="nil"/>
              <w:bottom w:val="single" w:sz="4" w:space="0" w:color="auto"/>
              <w:right w:val="single" w:sz="8" w:space="0" w:color="auto"/>
            </w:tcBorders>
            <w:shd w:val="clear" w:color="000000" w:fill="F2F2F2"/>
            <w:noWrap/>
            <w:vAlign w:val="bottom"/>
            <w:hideMark/>
          </w:tcPr>
          <w:p w:rsidR="00572D4A" w:rsidRPr="00572D4A" w:rsidRDefault="00572D4A" w:rsidP="00572D4A">
            <w:pPr>
              <w:spacing w:after="0" w:line="240" w:lineRule="auto"/>
              <w:jc w:val="center"/>
              <w:rPr>
                <w:rFonts w:eastAsia="Times New Roman"/>
                <w:bCs/>
                <w:color w:val="000000"/>
                <w:lang w:eastAsia="pt-BR"/>
              </w:rPr>
            </w:pPr>
            <w:r w:rsidRPr="00572D4A">
              <w:rPr>
                <w:rFonts w:eastAsia="Times New Roman"/>
                <w:bCs/>
                <w:color w:val="000000"/>
                <w:lang w:eastAsia="pt-BR"/>
              </w:rPr>
              <w:t>CAPEX</w:t>
            </w:r>
          </w:p>
        </w:tc>
        <w:tc>
          <w:tcPr>
            <w:tcW w:w="1781" w:type="dxa"/>
            <w:tcBorders>
              <w:top w:val="nil"/>
              <w:left w:val="nil"/>
              <w:bottom w:val="single" w:sz="4" w:space="0" w:color="auto"/>
              <w:right w:val="nil"/>
            </w:tcBorders>
            <w:shd w:val="clear" w:color="000000" w:fill="F2F2F2"/>
            <w:noWrap/>
            <w:vAlign w:val="bottom"/>
            <w:hideMark/>
          </w:tcPr>
          <w:p w:rsidR="00572D4A" w:rsidRPr="00572D4A" w:rsidRDefault="00572D4A" w:rsidP="00572D4A">
            <w:pPr>
              <w:spacing w:after="0" w:line="240" w:lineRule="auto"/>
              <w:rPr>
                <w:rFonts w:eastAsia="Times New Roman"/>
                <w:bCs/>
                <w:i/>
                <w:iCs/>
                <w:color w:val="000000"/>
                <w:lang w:eastAsia="pt-BR"/>
              </w:rPr>
            </w:pPr>
            <w:r w:rsidRPr="00572D4A">
              <w:rPr>
                <w:rFonts w:eastAsia="Times New Roman"/>
                <w:bCs/>
                <w:i/>
                <w:iCs/>
                <w:color w:val="000000"/>
                <w:lang w:eastAsia="pt-BR"/>
              </w:rPr>
              <w:t xml:space="preserve">                    555.502 </w:t>
            </w:r>
          </w:p>
        </w:tc>
        <w:tc>
          <w:tcPr>
            <w:tcW w:w="1428" w:type="dxa"/>
            <w:tcBorders>
              <w:top w:val="nil"/>
              <w:left w:val="single" w:sz="8" w:space="0" w:color="auto"/>
              <w:bottom w:val="single" w:sz="4" w:space="0" w:color="auto"/>
              <w:right w:val="single" w:sz="4" w:space="0" w:color="auto"/>
            </w:tcBorders>
            <w:shd w:val="clear" w:color="000000" w:fill="F2F2F2"/>
            <w:noWrap/>
            <w:vAlign w:val="bottom"/>
            <w:hideMark/>
          </w:tcPr>
          <w:p w:rsidR="00572D4A" w:rsidRPr="00572D4A" w:rsidRDefault="00572D4A" w:rsidP="00572D4A">
            <w:pPr>
              <w:spacing w:after="0" w:line="240" w:lineRule="auto"/>
              <w:rPr>
                <w:rFonts w:eastAsia="Times New Roman"/>
                <w:bCs/>
                <w:color w:val="000000"/>
                <w:lang w:eastAsia="pt-BR"/>
              </w:rPr>
            </w:pPr>
            <w:r w:rsidRPr="00572D4A">
              <w:rPr>
                <w:rFonts w:eastAsia="Times New Roman"/>
                <w:bCs/>
                <w:color w:val="000000"/>
                <w:lang w:eastAsia="pt-BR"/>
              </w:rPr>
              <w:t xml:space="preserve">               72.901 </w:t>
            </w:r>
          </w:p>
        </w:tc>
      </w:tr>
      <w:tr w:rsidR="00572D4A" w:rsidRPr="00572D4A" w:rsidTr="00B13DE1">
        <w:trPr>
          <w:trHeight w:val="300"/>
        </w:trPr>
        <w:tc>
          <w:tcPr>
            <w:tcW w:w="3148" w:type="dxa"/>
            <w:tcBorders>
              <w:top w:val="nil"/>
              <w:left w:val="single" w:sz="8" w:space="0" w:color="auto"/>
              <w:bottom w:val="single" w:sz="4" w:space="0" w:color="auto"/>
              <w:right w:val="single" w:sz="4" w:space="0" w:color="auto"/>
            </w:tcBorders>
            <w:shd w:val="clear" w:color="auto" w:fill="auto"/>
            <w:noWrap/>
            <w:vAlign w:val="bottom"/>
            <w:hideMark/>
          </w:tcPr>
          <w:p w:rsidR="00572D4A" w:rsidRPr="00572D4A" w:rsidRDefault="00572D4A" w:rsidP="00572D4A">
            <w:pPr>
              <w:spacing w:after="0" w:line="240" w:lineRule="auto"/>
              <w:ind w:firstLineChars="100" w:firstLine="220"/>
              <w:rPr>
                <w:rFonts w:eastAsia="Times New Roman"/>
                <w:color w:val="000000"/>
                <w:lang w:eastAsia="pt-BR"/>
              </w:rPr>
            </w:pPr>
            <w:r w:rsidRPr="00572D4A">
              <w:rPr>
                <w:rFonts w:eastAsia="Times New Roman"/>
                <w:color w:val="000000"/>
                <w:lang w:eastAsia="pt-BR"/>
              </w:rPr>
              <w:t xml:space="preserve">Capital </w:t>
            </w:r>
            <w:proofErr w:type="spellStart"/>
            <w:r w:rsidRPr="00572D4A">
              <w:rPr>
                <w:rFonts w:eastAsia="Times New Roman"/>
                <w:color w:val="000000"/>
                <w:lang w:eastAsia="pt-BR"/>
              </w:rPr>
              <w:t>Proprio</w:t>
            </w:r>
            <w:proofErr w:type="spellEnd"/>
          </w:p>
        </w:tc>
        <w:tc>
          <w:tcPr>
            <w:tcW w:w="1115" w:type="dxa"/>
            <w:tcBorders>
              <w:top w:val="nil"/>
              <w:left w:val="nil"/>
              <w:bottom w:val="single" w:sz="4" w:space="0" w:color="auto"/>
              <w:right w:val="single" w:sz="4" w:space="0" w:color="auto"/>
            </w:tcBorders>
            <w:shd w:val="clear" w:color="auto" w:fill="auto"/>
            <w:noWrap/>
            <w:vAlign w:val="bottom"/>
            <w:hideMark/>
          </w:tcPr>
          <w:p w:rsidR="00572D4A" w:rsidRPr="00572D4A" w:rsidRDefault="00572D4A" w:rsidP="00572D4A">
            <w:pPr>
              <w:spacing w:after="0" w:line="240" w:lineRule="auto"/>
              <w:ind w:firstLineChars="100" w:firstLine="220"/>
              <w:rPr>
                <w:rFonts w:eastAsia="Times New Roman"/>
                <w:color w:val="000000"/>
                <w:lang w:eastAsia="pt-BR"/>
              </w:rPr>
            </w:pPr>
            <w:r w:rsidRPr="00572D4A">
              <w:rPr>
                <w:rFonts w:eastAsia="Times New Roman"/>
                <w:color w:val="000000"/>
                <w:lang w:eastAsia="pt-BR"/>
              </w:rPr>
              <w:t> </w:t>
            </w:r>
          </w:p>
        </w:tc>
        <w:tc>
          <w:tcPr>
            <w:tcW w:w="841" w:type="dxa"/>
            <w:tcBorders>
              <w:top w:val="nil"/>
              <w:left w:val="nil"/>
              <w:bottom w:val="single" w:sz="4" w:space="0" w:color="auto"/>
              <w:right w:val="single" w:sz="8" w:space="0" w:color="auto"/>
            </w:tcBorders>
            <w:shd w:val="clear" w:color="auto" w:fill="auto"/>
            <w:noWrap/>
            <w:vAlign w:val="bottom"/>
            <w:hideMark/>
          </w:tcPr>
          <w:p w:rsidR="00572D4A" w:rsidRPr="00572D4A" w:rsidRDefault="00572D4A" w:rsidP="00572D4A">
            <w:pPr>
              <w:spacing w:after="0" w:line="240" w:lineRule="auto"/>
              <w:jc w:val="center"/>
              <w:rPr>
                <w:rFonts w:eastAsia="Times New Roman"/>
                <w:color w:val="000000"/>
                <w:lang w:eastAsia="pt-BR"/>
              </w:rPr>
            </w:pPr>
            <w:r w:rsidRPr="00572D4A">
              <w:rPr>
                <w:rFonts w:eastAsia="Times New Roman"/>
                <w:color w:val="000000"/>
                <w:lang w:eastAsia="pt-BR"/>
              </w:rPr>
              <w:t> </w:t>
            </w:r>
          </w:p>
        </w:tc>
        <w:tc>
          <w:tcPr>
            <w:tcW w:w="1781" w:type="dxa"/>
            <w:tcBorders>
              <w:top w:val="nil"/>
              <w:left w:val="nil"/>
              <w:bottom w:val="single" w:sz="4" w:space="0" w:color="auto"/>
              <w:right w:val="nil"/>
            </w:tcBorders>
            <w:shd w:val="clear" w:color="auto" w:fill="auto"/>
            <w:noWrap/>
            <w:vAlign w:val="bottom"/>
            <w:hideMark/>
          </w:tcPr>
          <w:p w:rsidR="00572D4A" w:rsidRPr="00572D4A" w:rsidRDefault="00572D4A" w:rsidP="00572D4A">
            <w:pPr>
              <w:spacing w:after="0" w:line="240" w:lineRule="auto"/>
              <w:ind w:firstLineChars="100" w:firstLine="220"/>
              <w:rPr>
                <w:rFonts w:eastAsia="Times New Roman"/>
                <w:i/>
                <w:iCs/>
                <w:color w:val="000000"/>
                <w:lang w:eastAsia="pt-BR"/>
              </w:rPr>
            </w:pPr>
            <w:r w:rsidRPr="00572D4A">
              <w:rPr>
                <w:rFonts w:eastAsia="Times New Roman"/>
                <w:i/>
                <w:iCs/>
                <w:color w:val="000000"/>
                <w:lang w:eastAsia="pt-BR"/>
              </w:rPr>
              <w:t xml:space="preserve">                 184.678 </w:t>
            </w:r>
          </w:p>
        </w:tc>
        <w:tc>
          <w:tcPr>
            <w:tcW w:w="1428" w:type="dxa"/>
            <w:tcBorders>
              <w:top w:val="nil"/>
              <w:left w:val="single" w:sz="8" w:space="0" w:color="auto"/>
              <w:bottom w:val="single" w:sz="4" w:space="0" w:color="auto"/>
              <w:right w:val="single" w:sz="4" w:space="0" w:color="auto"/>
            </w:tcBorders>
            <w:shd w:val="clear" w:color="auto" w:fill="auto"/>
            <w:noWrap/>
            <w:vAlign w:val="bottom"/>
            <w:hideMark/>
          </w:tcPr>
          <w:p w:rsidR="00572D4A" w:rsidRPr="00572D4A" w:rsidRDefault="00572D4A" w:rsidP="00572D4A">
            <w:pPr>
              <w:spacing w:after="0" w:line="240" w:lineRule="auto"/>
              <w:ind w:firstLineChars="100" w:firstLine="220"/>
              <w:rPr>
                <w:rFonts w:eastAsia="Times New Roman"/>
                <w:color w:val="000000"/>
                <w:lang w:eastAsia="pt-BR"/>
              </w:rPr>
            </w:pPr>
            <w:r w:rsidRPr="00572D4A">
              <w:rPr>
                <w:rFonts w:eastAsia="Times New Roman"/>
                <w:color w:val="000000"/>
                <w:lang w:eastAsia="pt-BR"/>
              </w:rPr>
              <w:t xml:space="preserve">            22.929 </w:t>
            </w:r>
          </w:p>
        </w:tc>
      </w:tr>
      <w:tr w:rsidR="00572D4A" w:rsidRPr="00572D4A" w:rsidTr="00B13DE1">
        <w:trPr>
          <w:trHeight w:val="315"/>
        </w:trPr>
        <w:tc>
          <w:tcPr>
            <w:tcW w:w="3148"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eastAsia="Times New Roman"/>
                <w:color w:val="000000"/>
                <w:lang w:eastAsia="pt-BR"/>
              </w:rPr>
            </w:pPr>
          </w:p>
        </w:tc>
        <w:tc>
          <w:tcPr>
            <w:tcW w:w="1115"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eastAsia="Times New Roman"/>
                <w:color w:val="000000"/>
                <w:lang w:eastAsia="pt-BR"/>
              </w:rPr>
            </w:pPr>
          </w:p>
        </w:tc>
        <w:tc>
          <w:tcPr>
            <w:tcW w:w="841"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eastAsia="Times New Roman"/>
                <w:color w:val="000000"/>
                <w:lang w:eastAsia="pt-BR"/>
              </w:rPr>
            </w:pPr>
          </w:p>
        </w:tc>
        <w:tc>
          <w:tcPr>
            <w:tcW w:w="1781"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eastAsia="Times New Roman"/>
                <w:color w:val="000000"/>
                <w:lang w:eastAsia="pt-BR"/>
              </w:rPr>
            </w:pPr>
          </w:p>
        </w:tc>
        <w:tc>
          <w:tcPr>
            <w:tcW w:w="1428"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eastAsia="Times New Roman"/>
                <w:color w:val="000000"/>
                <w:lang w:eastAsia="pt-BR"/>
              </w:rPr>
            </w:pPr>
          </w:p>
        </w:tc>
      </w:tr>
    </w:tbl>
    <w:p w:rsidR="00B13DE1" w:rsidRPr="00B13DE1" w:rsidRDefault="00572D4A" w:rsidP="00680CB0">
      <w:pPr>
        <w:spacing w:line="360" w:lineRule="auto"/>
        <w:ind w:left="709" w:hanging="709"/>
        <w:jc w:val="both"/>
        <w:rPr>
          <w:b/>
        </w:rPr>
      </w:pPr>
      <w:r w:rsidRPr="00B13DE1">
        <w:rPr>
          <w:b/>
        </w:rPr>
        <w:t>ANEXO 2 – ESTRUTURA TARIFÁRIA PROPOSTA</w:t>
      </w:r>
    </w:p>
    <w:tbl>
      <w:tblPr>
        <w:tblW w:w="14183" w:type="dxa"/>
        <w:tblInd w:w="55" w:type="dxa"/>
        <w:tblCellMar>
          <w:left w:w="70" w:type="dxa"/>
          <w:right w:w="70" w:type="dxa"/>
        </w:tblCellMar>
        <w:tblLook w:val="04A0"/>
      </w:tblPr>
      <w:tblGrid>
        <w:gridCol w:w="1831"/>
        <w:gridCol w:w="894"/>
        <w:gridCol w:w="1246"/>
        <w:gridCol w:w="1430"/>
        <w:gridCol w:w="1329"/>
        <w:gridCol w:w="1693"/>
        <w:gridCol w:w="960"/>
        <w:gridCol w:w="960"/>
        <w:gridCol w:w="960"/>
        <w:gridCol w:w="960"/>
        <w:gridCol w:w="960"/>
        <w:gridCol w:w="960"/>
      </w:tblGrid>
      <w:tr w:rsidR="00572D4A" w:rsidRPr="00572D4A" w:rsidTr="00572D4A">
        <w:trPr>
          <w:trHeight w:val="300"/>
        </w:trPr>
        <w:tc>
          <w:tcPr>
            <w:tcW w:w="18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bCs/>
                <w:color w:val="000000"/>
                <w:sz w:val="16"/>
                <w:szCs w:val="16"/>
                <w:lang w:eastAsia="pt-BR"/>
              </w:rPr>
            </w:pPr>
            <w:r w:rsidRPr="00572D4A">
              <w:rPr>
                <w:rFonts w:ascii="Arial" w:eastAsia="Times New Roman" w:hAnsi="Arial" w:cs="Arial"/>
                <w:bCs/>
                <w:color w:val="000000"/>
                <w:sz w:val="16"/>
                <w:szCs w:val="16"/>
                <w:lang w:eastAsia="pt-BR"/>
              </w:rPr>
              <w:t>LEGENDA</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572D4A" w:rsidRPr="00572D4A" w:rsidRDefault="00572D4A" w:rsidP="00572D4A">
            <w:pPr>
              <w:spacing w:after="0" w:line="240" w:lineRule="auto"/>
              <w:jc w:val="center"/>
              <w:rPr>
                <w:rFonts w:ascii="Arial" w:eastAsia="Times New Roman" w:hAnsi="Arial" w:cs="Arial"/>
                <w:bCs/>
                <w:color w:val="000000"/>
                <w:sz w:val="16"/>
                <w:szCs w:val="16"/>
                <w:lang w:eastAsia="pt-BR"/>
              </w:rPr>
            </w:pPr>
            <w:proofErr w:type="gramStart"/>
            <w:r w:rsidRPr="00572D4A">
              <w:rPr>
                <w:rFonts w:ascii="Arial" w:eastAsia="Times New Roman" w:hAnsi="Arial" w:cs="Arial"/>
                <w:bCs/>
                <w:color w:val="000000"/>
                <w:sz w:val="16"/>
                <w:szCs w:val="16"/>
                <w:lang w:eastAsia="pt-BR"/>
              </w:rPr>
              <w:t>1</w:t>
            </w:r>
            <w:proofErr w:type="gramEnd"/>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572D4A" w:rsidRPr="00572D4A" w:rsidRDefault="00572D4A" w:rsidP="00572D4A">
            <w:pPr>
              <w:spacing w:after="0" w:line="240" w:lineRule="auto"/>
              <w:jc w:val="center"/>
              <w:rPr>
                <w:rFonts w:ascii="Arial" w:eastAsia="Times New Roman" w:hAnsi="Arial" w:cs="Arial"/>
                <w:bCs/>
                <w:color w:val="000000"/>
                <w:sz w:val="16"/>
                <w:szCs w:val="16"/>
                <w:lang w:eastAsia="pt-BR"/>
              </w:rPr>
            </w:pPr>
            <w:proofErr w:type="gramStart"/>
            <w:r w:rsidRPr="00572D4A">
              <w:rPr>
                <w:rFonts w:ascii="Arial" w:eastAsia="Times New Roman" w:hAnsi="Arial" w:cs="Arial"/>
                <w:bCs/>
                <w:color w:val="000000"/>
                <w:sz w:val="16"/>
                <w:szCs w:val="16"/>
                <w:lang w:eastAsia="pt-BR"/>
              </w:rPr>
              <w:t>2</w:t>
            </w:r>
            <w:proofErr w:type="gramEnd"/>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572D4A" w:rsidRPr="00572D4A" w:rsidRDefault="00572D4A" w:rsidP="00572D4A">
            <w:pPr>
              <w:spacing w:after="0" w:line="240" w:lineRule="auto"/>
              <w:jc w:val="center"/>
              <w:rPr>
                <w:rFonts w:ascii="Arial" w:eastAsia="Times New Roman" w:hAnsi="Arial" w:cs="Arial"/>
                <w:bCs/>
                <w:color w:val="000000"/>
                <w:sz w:val="16"/>
                <w:szCs w:val="16"/>
                <w:lang w:eastAsia="pt-BR"/>
              </w:rPr>
            </w:pPr>
            <w:proofErr w:type="gramStart"/>
            <w:r w:rsidRPr="00572D4A">
              <w:rPr>
                <w:rFonts w:ascii="Arial" w:eastAsia="Times New Roman" w:hAnsi="Arial" w:cs="Arial"/>
                <w:bCs/>
                <w:color w:val="000000"/>
                <w:sz w:val="16"/>
                <w:szCs w:val="16"/>
                <w:lang w:eastAsia="pt-BR"/>
              </w:rPr>
              <w:t>3</w:t>
            </w:r>
            <w:proofErr w:type="gramEnd"/>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rsidR="00572D4A" w:rsidRPr="00572D4A" w:rsidRDefault="00572D4A" w:rsidP="00572D4A">
            <w:pPr>
              <w:spacing w:after="0" w:line="240" w:lineRule="auto"/>
              <w:jc w:val="center"/>
              <w:rPr>
                <w:rFonts w:ascii="Arial" w:eastAsia="Times New Roman" w:hAnsi="Arial" w:cs="Arial"/>
                <w:bCs/>
                <w:color w:val="000000"/>
                <w:sz w:val="16"/>
                <w:szCs w:val="16"/>
                <w:lang w:eastAsia="pt-BR"/>
              </w:rPr>
            </w:pPr>
            <w:proofErr w:type="gramStart"/>
            <w:r w:rsidRPr="00572D4A">
              <w:rPr>
                <w:rFonts w:ascii="Arial" w:eastAsia="Times New Roman" w:hAnsi="Arial" w:cs="Arial"/>
                <w:bCs/>
                <w:color w:val="000000"/>
                <w:sz w:val="16"/>
                <w:szCs w:val="16"/>
                <w:lang w:eastAsia="pt-BR"/>
              </w:rPr>
              <w:t>4</w:t>
            </w:r>
            <w:proofErr w:type="gramEnd"/>
          </w:p>
        </w:tc>
        <w:tc>
          <w:tcPr>
            <w:tcW w:w="1693" w:type="dxa"/>
            <w:tcBorders>
              <w:top w:val="single" w:sz="4" w:space="0" w:color="auto"/>
              <w:left w:val="nil"/>
              <w:bottom w:val="single" w:sz="4" w:space="0" w:color="auto"/>
              <w:right w:val="single" w:sz="4" w:space="0" w:color="auto"/>
            </w:tcBorders>
            <w:shd w:val="clear" w:color="auto" w:fill="auto"/>
            <w:noWrap/>
            <w:vAlign w:val="bottom"/>
            <w:hideMark/>
          </w:tcPr>
          <w:p w:rsidR="00572D4A" w:rsidRPr="00572D4A" w:rsidRDefault="00572D4A" w:rsidP="00572D4A">
            <w:pPr>
              <w:spacing w:after="0" w:line="240" w:lineRule="auto"/>
              <w:jc w:val="center"/>
              <w:rPr>
                <w:rFonts w:ascii="Arial" w:eastAsia="Times New Roman" w:hAnsi="Arial" w:cs="Arial"/>
                <w:bCs/>
                <w:color w:val="000000"/>
                <w:sz w:val="16"/>
                <w:szCs w:val="16"/>
                <w:lang w:eastAsia="pt-BR"/>
              </w:rPr>
            </w:pPr>
            <w:proofErr w:type="gramStart"/>
            <w:r w:rsidRPr="00572D4A">
              <w:rPr>
                <w:rFonts w:ascii="Arial" w:eastAsia="Times New Roman" w:hAnsi="Arial" w:cs="Arial"/>
                <w:bCs/>
                <w:color w:val="000000"/>
                <w:sz w:val="16"/>
                <w:szCs w:val="16"/>
                <w:lang w:eastAsia="pt-BR"/>
              </w:rPr>
              <w:t>5</w:t>
            </w:r>
            <w:proofErr w:type="gramEnd"/>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r>
      <w:tr w:rsidR="00572D4A" w:rsidRPr="00572D4A" w:rsidTr="00572D4A">
        <w:trPr>
          <w:trHeight w:val="300"/>
        </w:trPr>
        <w:tc>
          <w:tcPr>
            <w:tcW w:w="1831" w:type="dxa"/>
            <w:tcBorders>
              <w:top w:val="nil"/>
              <w:left w:val="single" w:sz="4" w:space="0" w:color="auto"/>
              <w:bottom w:val="single" w:sz="4" w:space="0" w:color="auto"/>
              <w:right w:val="single" w:sz="4" w:space="0" w:color="auto"/>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bCs/>
                <w:color w:val="000000"/>
                <w:sz w:val="16"/>
                <w:szCs w:val="16"/>
                <w:lang w:eastAsia="pt-BR"/>
              </w:rPr>
            </w:pPr>
            <w:r w:rsidRPr="00572D4A">
              <w:rPr>
                <w:rFonts w:ascii="Arial" w:eastAsia="Times New Roman" w:hAnsi="Arial" w:cs="Arial"/>
                <w:bCs/>
                <w:color w:val="000000"/>
                <w:sz w:val="16"/>
                <w:szCs w:val="16"/>
                <w:lang w:eastAsia="pt-BR"/>
              </w:rPr>
              <w:t>INDICADOR</w:t>
            </w:r>
          </w:p>
        </w:tc>
        <w:tc>
          <w:tcPr>
            <w:tcW w:w="894" w:type="dxa"/>
            <w:tcBorders>
              <w:top w:val="nil"/>
              <w:left w:val="nil"/>
              <w:bottom w:val="single" w:sz="4" w:space="0" w:color="auto"/>
              <w:right w:val="single" w:sz="4" w:space="0" w:color="auto"/>
            </w:tcBorders>
            <w:shd w:val="clear" w:color="auto" w:fill="auto"/>
            <w:noWrap/>
            <w:vAlign w:val="bottom"/>
            <w:hideMark/>
          </w:tcPr>
          <w:p w:rsidR="00572D4A" w:rsidRPr="00572D4A" w:rsidRDefault="00572D4A" w:rsidP="00572D4A">
            <w:pPr>
              <w:spacing w:after="0" w:line="240" w:lineRule="auto"/>
              <w:jc w:val="center"/>
              <w:rPr>
                <w:rFonts w:ascii="Arial" w:eastAsia="Times New Roman" w:hAnsi="Arial" w:cs="Arial"/>
                <w:bCs/>
                <w:color w:val="000000"/>
                <w:sz w:val="16"/>
                <w:szCs w:val="16"/>
                <w:lang w:eastAsia="pt-BR"/>
              </w:rPr>
            </w:pPr>
            <w:r w:rsidRPr="00572D4A">
              <w:rPr>
                <w:rFonts w:ascii="Arial" w:eastAsia="Times New Roman" w:hAnsi="Arial" w:cs="Arial"/>
                <w:bCs/>
                <w:color w:val="000000"/>
                <w:sz w:val="16"/>
                <w:szCs w:val="16"/>
                <w:lang w:eastAsia="pt-BR"/>
              </w:rPr>
              <w:t>18,55</w:t>
            </w:r>
          </w:p>
        </w:tc>
        <w:tc>
          <w:tcPr>
            <w:tcW w:w="1246" w:type="dxa"/>
            <w:tcBorders>
              <w:top w:val="nil"/>
              <w:left w:val="nil"/>
              <w:bottom w:val="single" w:sz="4" w:space="0" w:color="auto"/>
              <w:right w:val="single" w:sz="4" w:space="0" w:color="auto"/>
            </w:tcBorders>
            <w:shd w:val="clear" w:color="auto" w:fill="auto"/>
            <w:noWrap/>
            <w:vAlign w:val="bottom"/>
            <w:hideMark/>
          </w:tcPr>
          <w:p w:rsidR="00572D4A" w:rsidRPr="00572D4A" w:rsidRDefault="00572D4A" w:rsidP="00572D4A">
            <w:pPr>
              <w:spacing w:after="0" w:line="240" w:lineRule="auto"/>
              <w:jc w:val="center"/>
              <w:rPr>
                <w:rFonts w:ascii="Arial" w:eastAsia="Times New Roman" w:hAnsi="Arial" w:cs="Arial"/>
                <w:bCs/>
                <w:color w:val="000000"/>
                <w:sz w:val="16"/>
                <w:szCs w:val="16"/>
                <w:lang w:eastAsia="pt-BR"/>
              </w:rPr>
            </w:pPr>
            <w:r w:rsidRPr="00572D4A">
              <w:rPr>
                <w:rFonts w:ascii="Arial" w:eastAsia="Times New Roman" w:hAnsi="Arial" w:cs="Arial"/>
                <w:bCs/>
                <w:color w:val="000000"/>
                <w:sz w:val="16"/>
                <w:szCs w:val="16"/>
                <w:lang w:eastAsia="pt-BR"/>
              </w:rPr>
              <w:t>6,34896</w:t>
            </w:r>
          </w:p>
        </w:tc>
        <w:tc>
          <w:tcPr>
            <w:tcW w:w="1430" w:type="dxa"/>
            <w:tcBorders>
              <w:top w:val="nil"/>
              <w:left w:val="nil"/>
              <w:bottom w:val="single" w:sz="4" w:space="0" w:color="auto"/>
              <w:right w:val="single" w:sz="4" w:space="0" w:color="auto"/>
            </w:tcBorders>
            <w:shd w:val="clear" w:color="auto" w:fill="auto"/>
            <w:noWrap/>
            <w:vAlign w:val="bottom"/>
            <w:hideMark/>
          </w:tcPr>
          <w:p w:rsidR="00572D4A" w:rsidRPr="00572D4A" w:rsidRDefault="00572D4A" w:rsidP="00572D4A">
            <w:pPr>
              <w:spacing w:after="0" w:line="240" w:lineRule="auto"/>
              <w:jc w:val="center"/>
              <w:rPr>
                <w:rFonts w:ascii="Arial" w:eastAsia="Times New Roman" w:hAnsi="Arial" w:cs="Arial"/>
                <w:bCs/>
                <w:color w:val="000000"/>
                <w:sz w:val="16"/>
                <w:szCs w:val="16"/>
                <w:lang w:eastAsia="pt-BR"/>
              </w:rPr>
            </w:pPr>
            <w:r w:rsidRPr="00572D4A">
              <w:rPr>
                <w:rFonts w:ascii="Arial" w:eastAsia="Times New Roman" w:hAnsi="Arial" w:cs="Arial"/>
                <w:bCs/>
                <w:color w:val="000000"/>
                <w:sz w:val="16"/>
                <w:szCs w:val="16"/>
                <w:lang w:eastAsia="pt-BR"/>
              </w:rPr>
              <w:t>24,89896</w:t>
            </w:r>
          </w:p>
        </w:tc>
        <w:tc>
          <w:tcPr>
            <w:tcW w:w="1329" w:type="dxa"/>
            <w:tcBorders>
              <w:top w:val="nil"/>
              <w:left w:val="nil"/>
              <w:bottom w:val="single" w:sz="4" w:space="0" w:color="auto"/>
              <w:right w:val="single" w:sz="4" w:space="0" w:color="auto"/>
            </w:tcBorders>
            <w:shd w:val="clear" w:color="auto" w:fill="auto"/>
            <w:noWrap/>
            <w:vAlign w:val="bottom"/>
            <w:hideMark/>
          </w:tcPr>
          <w:p w:rsidR="00572D4A" w:rsidRPr="00572D4A" w:rsidRDefault="00572D4A" w:rsidP="00572D4A">
            <w:pPr>
              <w:spacing w:after="0" w:line="240" w:lineRule="auto"/>
              <w:jc w:val="center"/>
              <w:rPr>
                <w:rFonts w:ascii="Arial" w:eastAsia="Times New Roman" w:hAnsi="Arial" w:cs="Arial"/>
                <w:bCs/>
                <w:color w:val="000000"/>
                <w:sz w:val="16"/>
                <w:szCs w:val="16"/>
                <w:lang w:eastAsia="pt-BR"/>
              </w:rPr>
            </w:pPr>
            <w:r w:rsidRPr="00572D4A">
              <w:rPr>
                <w:rFonts w:ascii="Arial" w:eastAsia="Times New Roman" w:hAnsi="Arial" w:cs="Arial"/>
                <w:bCs/>
                <w:color w:val="000000"/>
                <w:sz w:val="16"/>
                <w:szCs w:val="16"/>
                <w:lang w:eastAsia="pt-BR"/>
              </w:rPr>
              <w:t>13,90</w:t>
            </w:r>
          </w:p>
        </w:tc>
        <w:tc>
          <w:tcPr>
            <w:tcW w:w="1693" w:type="dxa"/>
            <w:tcBorders>
              <w:top w:val="nil"/>
              <w:left w:val="nil"/>
              <w:bottom w:val="single" w:sz="4" w:space="0" w:color="auto"/>
              <w:right w:val="single" w:sz="4" w:space="0" w:color="auto"/>
            </w:tcBorders>
            <w:shd w:val="clear" w:color="auto" w:fill="auto"/>
            <w:noWrap/>
            <w:vAlign w:val="bottom"/>
            <w:hideMark/>
          </w:tcPr>
          <w:p w:rsidR="00572D4A" w:rsidRPr="00572D4A" w:rsidRDefault="00572D4A" w:rsidP="00572D4A">
            <w:pPr>
              <w:spacing w:after="0" w:line="240" w:lineRule="auto"/>
              <w:jc w:val="center"/>
              <w:rPr>
                <w:rFonts w:ascii="Arial" w:eastAsia="Times New Roman" w:hAnsi="Arial" w:cs="Arial"/>
                <w:bCs/>
                <w:color w:val="000000"/>
                <w:sz w:val="16"/>
                <w:szCs w:val="16"/>
                <w:lang w:eastAsia="pt-BR"/>
              </w:rPr>
            </w:pPr>
            <w:r w:rsidRPr="00572D4A">
              <w:rPr>
                <w:rFonts w:ascii="Arial" w:eastAsia="Times New Roman" w:hAnsi="Arial" w:cs="Arial"/>
                <w:bCs/>
                <w:color w:val="000000"/>
                <w:sz w:val="16"/>
                <w:szCs w:val="16"/>
                <w:lang w:eastAsia="pt-BR"/>
              </w:rPr>
              <w:t>10,99896</w:t>
            </w: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r>
      <w:tr w:rsidR="00572D4A" w:rsidRPr="00572D4A" w:rsidTr="00572D4A">
        <w:trPr>
          <w:trHeight w:val="285"/>
        </w:trPr>
        <w:tc>
          <w:tcPr>
            <w:tcW w:w="1831" w:type="dxa"/>
            <w:tcBorders>
              <w:top w:val="nil"/>
              <w:left w:val="single" w:sz="8" w:space="0" w:color="auto"/>
              <w:bottom w:val="nil"/>
              <w:right w:val="single" w:sz="8" w:space="0" w:color="auto"/>
            </w:tcBorders>
            <w:shd w:val="clear" w:color="000000" w:fill="CCFFFF"/>
            <w:noWrap/>
            <w:vAlign w:val="bottom"/>
            <w:hideMark/>
          </w:tcPr>
          <w:p w:rsidR="00572D4A" w:rsidRPr="00572D4A" w:rsidRDefault="00572D4A" w:rsidP="00572D4A">
            <w:pPr>
              <w:spacing w:after="0" w:line="240" w:lineRule="auto"/>
              <w:rPr>
                <w:rFonts w:ascii="Arial" w:eastAsia="Times New Roman" w:hAnsi="Arial" w:cs="Arial"/>
                <w:bCs/>
                <w:color w:val="000000"/>
                <w:sz w:val="16"/>
                <w:szCs w:val="16"/>
                <w:lang w:eastAsia="pt-BR"/>
              </w:rPr>
            </w:pPr>
            <w:r w:rsidRPr="00572D4A">
              <w:rPr>
                <w:rFonts w:ascii="Arial" w:eastAsia="Times New Roman" w:hAnsi="Arial" w:cs="Arial"/>
                <w:bCs/>
                <w:color w:val="000000"/>
                <w:sz w:val="16"/>
                <w:szCs w:val="16"/>
                <w:lang w:eastAsia="pt-BR"/>
              </w:rPr>
              <w:t> </w:t>
            </w:r>
          </w:p>
        </w:tc>
        <w:tc>
          <w:tcPr>
            <w:tcW w:w="894" w:type="dxa"/>
            <w:tcBorders>
              <w:top w:val="nil"/>
              <w:left w:val="nil"/>
              <w:bottom w:val="nil"/>
              <w:right w:val="nil"/>
            </w:tcBorders>
            <w:shd w:val="clear" w:color="000000" w:fill="CCFFFF"/>
            <w:noWrap/>
            <w:vAlign w:val="bottom"/>
            <w:hideMark/>
          </w:tcPr>
          <w:p w:rsidR="00572D4A" w:rsidRPr="00572D4A" w:rsidRDefault="00572D4A" w:rsidP="00572D4A">
            <w:pPr>
              <w:spacing w:after="0" w:line="240" w:lineRule="auto"/>
              <w:rPr>
                <w:rFonts w:ascii="Arial" w:eastAsia="Times New Roman" w:hAnsi="Arial" w:cs="Arial"/>
                <w:bCs/>
                <w:color w:val="000000"/>
                <w:sz w:val="16"/>
                <w:szCs w:val="16"/>
                <w:lang w:eastAsia="pt-BR"/>
              </w:rPr>
            </w:pPr>
            <w:r w:rsidRPr="00572D4A">
              <w:rPr>
                <w:rFonts w:ascii="Arial" w:eastAsia="Times New Roman" w:hAnsi="Arial" w:cs="Arial"/>
                <w:bCs/>
                <w:color w:val="000000"/>
                <w:sz w:val="16"/>
                <w:szCs w:val="16"/>
                <w:lang w:eastAsia="pt-BR"/>
              </w:rPr>
              <w:t> </w:t>
            </w:r>
          </w:p>
        </w:tc>
        <w:tc>
          <w:tcPr>
            <w:tcW w:w="5698" w:type="dxa"/>
            <w:gridSpan w:val="4"/>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572D4A" w:rsidRPr="00B13DE1" w:rsidRDefault="00B13DE1" w:rsidP="00572D4A">
            <w:pPr>
              <w:spacing w:after="0" w:line="240" w:lineRule="auto"/>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TABELA DE TARIFAS 2015</w:t>
            </w: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r>
      <w:tr w:rsidR="00572D4A" w:rsidRPr="00572D4A" w:rsidTr="00572D4A">
        <w:trPr>
          <w:trHeight w:val="285"/>
        </w:trPr>
        <w:tc>
          <w:tcPr>
            <w:tcW w:w="1831" w:type="dxa"/>
            <w:tcBorders>
              <w:top w:val="nil"/>
              <w:left w:val="single" w:sz="8" w:space="0" w:color="auto"/>
              <w:bottom w:val="nil"/>
              <w:right w:val="single" w:sz="8" w:space="0" w:color="auto"/>
            </w:tcBorders>
            <w:shd w:val="clear" w:color="000000" w:fill="CCFFFF"/>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CATEGORIAS</w:t>
            </w:r>
          </w:p>
        </w:tc>
        <w:tc>
          <w:tcPr>
            <w:tcW w:w="894" w:type="dxa"/>
            <w:tcBorders>
              <w:top w:val="nil"/>
              <w:left w:val="nil"/>
              <w:bottom w:val="nil"/>
              <w:right w:val="single" w:sz="8" w:space="0" w:color="auto"/>
            </w:tcBorders>
            <w:shd w:val="clear" w:color="000000" w:fill="CCFFFF"/>
            <w:noWrap/>
            <w:vAlign w:val="bottom"/>
            <w:hideMark/>
          </w:tcPr>
          <w:p w:rsidR="00572D4A" w:rsidRPr="00572D4A" w:rsidRDefault="00572D4A" w:rsidP="00572D4A">
            <w:pPr>
              <w:spacing w:after="0" w:line="240" w:lineRule="auto"/>
              <w:jc w:val="center"/>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FAIXA</w:t>
            </w:r>
          </w:p>
        </w:tc>
        <w:tc>
          <w:tcPr>
            <w:tcW w:w="1246" w:type="dxa"/>
            <w:tcBorders>
              <w:top w:val="nil"/>
              <w:left w:val="nil"/>
              <w:bottom w:val="nil"/>
              <w:right w:val="single" w:sz="8" w:space="0" w:color="auto"/>
            </w:tcBorders>
            <w:shd w:val="clear" w:color="000000" w:fill="CCFFFF"/>
            <w:noWrap/>
            <w:vAlign w:val="bottom"/>
            <w:hideMark/>
          </w:tcPr>
          <w:p w:rsidR="00572D4A" w:rsidRPr="00572D4A" w:rsidRDefault="00572D4A" w:rsidP="00572D4A">
            <w:pPr>
              <w:spacing w:after="0" w:line="240" w:lineRule="auto"/>
              <w:jc w:val="center"/>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PREÇO</w:t>
            </w:r>
          </w:p>
        </w:tc>
        <w:tc>
          <w:tcPr>
            <w:tcW w:w="1430" w:type="dxa"/>
            <w:tcBorders>
              <w:top w:val="nil"/>
              <w:left w:val="nil"/>
              <w:bottom w:val="nil"/>
              <w:right w:val="single" w:sz="8" w:space="0" w:color="auto"/>
            </w:tcBorders>
            <w:shd w:val="clear" w:color="000000" w:fill="CCFFFF"/>
            <w:noWrap/>
            <w:vAlign w:val="bottom"/>
            <w:hideMark/>
          </w:tcPr>
          <w:p w:rsidR="00572D4A" w:rsidRPr="00572D4A" w:rsidRDefault="00572D4A" w:rsidP="00572D4A">
            <w:pPr>
              <w:spacing w:after="0" w:line="240" w:lineRule="auto"/>
              <w:jc w:val="center"/>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FATOR DE</w:t>
            </w:r>
          </w:p>
        </w:tc>
        <w:tc>
          <w:tcPr>
            <w:tcW w:w="1329" w:type="dxa"/>
            <w:tcBorders>
              <w:top w:val="nil"/>
              <w:left w:val="nil"/>
              <w:bottom w:val="nil"/>
              <w:right w:val="single" w:sz="8" w:space="0" w:color="auto"/>
            </w:tcBorders>
            <w:shd w:val="clear" w:color="000000" w:fill="CCFFFF"/>
            <w:noWrap/>
            <w:vAlign w:val="bottom"/>
            <w:hideMark/>
          </w:tcPr>
          <w:p w:rsidR="00572D4A" w:rsidRPr="00572D4A" w:rsidRDefault="00572D4A" w:rsidP="00572D4A">
            <w:pPr>
              <w:spacing w:after="0" w:line="240" w:lineRule="auto"/>
              <w:jc w:val="center"/>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VALORES</w:t>
            </w:r>
          </w:p>
        </w:tc>
        <w:tc>
          <w:tcPr>
            <w:tcW w:w="1693" w:type="dxa"/>
            <w:tcBorders>
              <w:top w:val="nil"/>
              <w:left w:val="nil"/>
              <w:bottom w:val="nil"/>
              <w:right w:val="single" w:sz="8" w:space="0" w:color="auto"/>
            </w:tcBorders>
            <w:shd w:val="clear" w:color="000000" w:fill="CCFFFF"/>
            <w:noWrap/>
            <w:vAlign w:val="bottom"/>
            <w:hideMark/>
          </w:tcPr>
          <w:p w:rsidR="00572D4A" w:rsidRPr="00572D4A" w:rsidRDefault="00572D4A" w:rsidP="00572D4A">
            <w:pPr>
              <w:spacing w:after="0" w:line="240" w:lineRule="auto"/>
              <w:jc w:val="center"/>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ACUMULADO</w:t>
            </w: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r>
      <w:tr w:rsidR="00572D4A" w:rsidRPr="00572D4A" w:rsidTr="00572D4A">
        <w:trPr>
          <w:trHeight w:val="300"/>
        </w:trPr>
        <w:tc>
          <w:tcPr>
            <w:tcW w:w="1831" w:type="dxa"/>
            <w:tcBorders>
              <w:top w:val="nil"/>
              <w:left w:val="single" w:sz="8" w:space="0" w:color="auto"/>
              <w:bottom w:val="single" w:sz="8" w:space="0" w:color="auto"/>
              <w:right w:val="single" w:sz="8" w:space="0" w:color="auto"/>
            </w:tcBorders>
            <w:shd w:val="clear" w:color="000000" w:fill="CCFFFF"/>
            <w:noWrap/>
            <w:vAlign w:val="bottom"/>
            <w:hideMark/>
          </w:tcPr>
          <w:p w:rsidR="00572D4A" w:rsidRPr="00572D4A" w:rsidRDefault="00572D4A" w:rsidP="00572D4A">
            <w:pPr>
              <w:spacing w:after="0" w:line="240" w:lineRule="auto"/>
              <w:rPr>
                <w:rFonts w:ascii="Arial" w:eastAsia="Times New Roman" w:hAnsi="Arial" w:cs="Arial"/>
                <w:color w:val="000000"/>
                <w:sz w:val="16"/>
                <w:szCs w:val="16"/>
                <w:u w:val="single"/>
                <w:lang w:eastAsia="pt-BR"/>
              </w:rPr>
            </w:pPr>
            <w:r w:rsidRPr="00572D4A">
              <w:rPr>
                <w:rFonts w:ascii="Arial" w:eastAsia="Times New Roman" w:hAnsi="Arial" w:cs="Arial"/>
                <w:color w:val="000000"/>
                <w:sz w:val="16"/>
                <w:szCs w:val="16"/>
                <w:u w:val="single"/>
                <w:lang w:eastAsia="pt-BR"/>
              </w:rPr>
              <w:t> </w:t>
            </w:r>
          </w:p>
        </w:tc>
        <w:tc>
          <w:tcPr>
            <w:tcW w:w="894" w:type="dxa"/>
            <w:tcBorders>
              <w:top w:val="nil"/>
              <w:left w:val="nil"/>
              <w:bottom w:val="single" w:sz="8" w:space="0" w:color="auto"/>
              <w:right w:val="single" w:sz="8" w:space="0" w:color="auto"/>
            </w:tcBorders>
            <w:shd w:val="clear" w:color="000000" w:fill="CCFFFF"/>
            <w:noWrap/>
            <w:vAlign w:val="bottom"/>
            <w:hideMark/>
          </w:tcPr>
          <w:p w:rsidR="00572D4A" w:rsidRPr="00572D4A" w:rsidRDefault="00572D4A" w:rsidP="00572D4A">
            <w:pPr>
              <w:spacing w:after="0" w:line="240" w:lineRule="auto"/>
              <w:jc w:val="center"/>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 </w:t>
            </w:r>
          </w:p>
        </w:tc>
        <w:tc>
          <w:tcPr>
            <w:tcW w:w="1246" w:type="dxa"/>
            <w:tcBorders>
              <w:top w:val="nil"/>
              <w:left w:val="nil"/>
              <w:bottom w:val="single" w:sz="8" w:space="0" w:color="auto"/>
              <w:right w:val="single" w:sz="8" w:space="0" w:color="auto"/>
            </w:tcBorders>
            <w:shd w:val="clear" w:color="000000" w:fill="CCFFFF"/>
            <w:noWrap/>
            <w:vAlign w:val="bottom"/>
            <w:hideMark/>
          </w:tcPr>
          <w:p w:rsidR="00572D4A" w:rsidRPr="00572D4A" w:rsidRDefault="00572D4A" w:rsidP="00572D4A">
            <w:pPr>
              <w:spacing w:after="0" w:line="240" w:lineRule="auto"/>
              <w:jc w:val="center"/>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(R$/m3)</w:t>
            </w:r>
          </w:p>
        </w:tc>
        <w:tc>
          <w:tcPr>
            <w:tcW w:w="1430" w:type="dxa"/>
            <w:tcBorders>
              <w:top w:val="nil"/>
              <w:left w:val="nil"/>
              <w:bottom w:val="single" w:sz="8" w:space="0" w:color="auto"/>
              <w:right w:val="single" w:sz="8" w:space="0" w:color="auto"/>
            </w:tcBorders>
            <w:shd w:val="clear" w:color="000000" w:fill="CCFFFF"/>
            <w:noWrap/>
            <w:vAlign w:val="bottom"/>
            <w:hideMark/>
          </w:tcPr>
          <w:p w:rsidR="00572D4A" w:rsidRPr="00572D4A" w:rsidRDefault="00572D4A" w:rsidP="00572D4A">
            <w:pPr>
              <w:spacing w:after="0" w:line="240" w:lineRule="auto"/>
              <w:jc w:val="center"/>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DEDUÇÃO</w:t>
            </w:r>
          </w:p>
        </w:tc>
        <w:tc>
          <w:tcPr>
            <w:tcW w:w="1329" w:type="dxa"/>
            <w:tcBorders>
              <w:top w:val="nil"/>
              <w:left w:val="nil"/>
              <w:bottom w:val="single" w:sz="8" w:space="0" w:color="auto"/>
              <w:right w:val="single" w:sz="8" w:space="0" w:color="auto"/>
            </w:tcBorders>
            <w:shd w:val="clear" w:color="000000" w:fill="CCFFFF"/>
            <w:noWrap/>
            <w:vAlign w:val="bottom"/>
            <w:hideMark/>
          </w:tcPr>
          <w:p w:rsidR="00572D4A" w:rsidRPr="00572D4A" w:rsidRDefault="00572D4A" w:rsidP="00572D4A">
            <w:pPr>
              <w:spacing w:after="0" w:line="240" w:lineRule="auto"/>
              <w:jc w:val="center"/>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DA FAIXA</w:t>
            </w:r>
          </w:p>
        </w:tc>
        <w:tc>
          <w:tcPr>
            <w:tcW w:w="1693" w:type="dxa"/>
            <w:tcBorders>
              <w:top w:val="nil"/>
              <w:left w:val="nil"/>
              <w:bottom w:val="single" w:sz="8" w:space="0" w:color="auto"/>
              <w:right w:val="single" w:sz="8" w:space="0" w:color="auto"/>
            </w:tcBorders>
            <w:shd w:val="clear" w:color="000000" w:fill="CCFFFF"/>
            <w:noWrap/>
            <w:vAlign w:val="bottom"/>
            <w:hideMark/>
          </w:tcPr>
          <w:p w:rsidR="00572D4A" w:rsidRPr="00572D4A" w:rsidRDefault="00572D4A" w:rsidP="00572D4A">
            <w:pPr>
              <w:spacing w:after="0" w:line="240" w:lineRule="auto"/>
              <w:jc w:val="center"/>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 </w:t>
            </w: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r>
      <w:tr w:rsidR="00572D4A" w:rsidRPr="00572D4A" w:rsidTr="00572D4A">
        <w:trPr>
          <w:trHeight w:val="300"/>
        </w:trPr>
        <w:tc>
          <w:tcPr>
            <w:tcW w:w="1831" w:type="dxa"/>
            <w:tcBorders>
              <w:top w:val="nil"/>
              <w:left w:val="single" w:sz="8" w:space="0" w:color="auto"/>
              <w:bottom w:val="nil"/>
              <w:right w:val="single" w:sz="8" w:space="0" w:color="auto"/>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RESIDENCIAL</w:t>
            </w:r>
          </w:p>
        </w:tc>
        <w:tc>
          <w:tcPr>
            <w:tcW w:w="894"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0 - 10</w:t>
            </w:r>
          </w:p>
        </w:tc>
        <w:tc>
          <w:tcPr>
            <w:tcW w:w="1246"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3,11</w:t>
            </w:r>
          </w:p>
        </w:tc>
        <w:tc>
          <w:tcPr>
            <w:tcW w:w="1430"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0,00</w:t>
            </w:r>
          </w:p>
        </w:tc>
        <w:tc>
          <w:tcPr>
            <w:tcW w:w="1329"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31,11</w:t>
            </w:r>
          </w:p>
        </w:tc>
        <w:tc>
          <w:tcPr>
            <w:tcW w:w="1693"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31,11</w:t>
            </w: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r>
      <w:tr w:rsidR="00572D4A" w:rsidRPr="00572D4A" w:rsidTr="00572D4A">
        <w:trPr>
          <w:trHeight w:val="300"/>
        </w:trPr>
        <w:tc>
          <w:tcPr>
            <w:tcW w:w="1831" w:type="dxa"/>
            <w:tcBorders>
              <w:top w:val="nil"/>
              <w:left w:val="single" w:sz="8" w:space="0" w:color="auto"/>
              <w:bottom w:val="nil"/>
              <w:right w:val="single" w:sz="8" w:space="0" w:color="auto"/>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 </w:t>
            </w:r>
          </w:p>
        </w:tc>
        <w:tc>
          <w:tcPr>
            <w:tcW w:w="894"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11-15</w:t>
            </w:r>
          </w:p>
        </w:tc>
        <w:tc>
          <w:tcPr>
            <w:tcW w:w="1246"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4,27</w:t>
            </w:r>
          </w:p>
        </w:tc>
        <w:tc>
          <w:tcPr>
            <w:tcW w:w="1430"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11,63</w:t>
            </w:r>
          </w:p>
        </w:tc>
        <w:tc>
          <w:tcPr>
            <w:tcW w:w="1329"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21,38</w:t>
            </w:r>
          </w:p>
        </w:tc>
        <w:tc>
          <w:tcPr>
            <w:tcW w:w="1693"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52,49</w:t>
            </w: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r>
      <w:tr w:rsidR="00572D4A" w:rsidRPr="00572D4A" w:rsidTr="00572D4A">
        <w:trPr>
          <w:trHeight w:val="300"/>
        </w:trPr>
        <w:tc>
          <w:tcPr>
            <w:tcW w:w="1831" w:type="dxa"/>
            <w:tcBorders>
              <w:top w:val="nil"/>
              <w:left w:val="single" w:sz="8" w:space="0" w:color="auto"/>
              <w:bottom w:val="nil"/>
              <w:right w:val="single" w:sz="8" w:space="0" w:color="auto"/>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 </w:t>
            </w:r>
          </w:p>
        </w:tc>
        <w:tc>
          <w:tcPr>
            <w:tcW w:w="894"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16 - 20</w:t>
            </w:r>
          </w:p>
        </w:tc>
        <w:tc>
          <w:tcPr>
            <w:tcW w:w="1246"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5,46</w:t>
            </w:r>
          </w:p>
        </w:tc>
        <w:tc>
          <w:tcPr>
            <w:tcW w:w="1430"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29,49</w:t>
            </w:r>
          </w:p>
        </w:tc>
        <w:tc>
          <w:tcPr>
            <w:tcW w:w="1329"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27,33</w:t>
            </w:r>
          </w:p>
        </w:tc>
        <w:tc>
          <w:tcPr>
            <w:tcW w:w="1693"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79,82</w:t>
            </w: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r>
      <w:tr w:rsidR="00572D4A" w:rsidRPr="00572D4A" w:rsidTr="00572D4A">
        <w:trPr>
          <w:trHeight w:val="300"/>
        </w:trPr>
        <w:tc>
          <w:tcPr>
            <w:tcW w:w="1831" w:type="dxa"/>
            <w:tcBorders>
              <w:top w:val="nil"/>
              <w:left w:val="single" w:sz="8" w:space="0" w:color="auto"/>
              <w:bottom w:val="nil"/>
              <w:right w:val="single" w:sz="8" w:space="0" w:color="auto"/>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 </w:t>
            </w:r>
          </w:p>
        </w:tc>
        <w:tc>
          <w:tcPr>
            <w:tcW w:w="894"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21 - 25</w:t>
            </w:r>
          </w:p>
        </w:tc>
        <w:tc>
          <w:tcPr>
            <w:tcW w:w="1246"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6,55</w:t>
            </w:r>
          </w:p>
        </w:tc>
        <w:tc>
          <w:tcPr>
            <w:tcW w:w="1430"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51,14</w:t>
            </w:r>
          </w:p>
        </w:tc>
        <w:tc>
          <w:tcPr>
            <w:tcW w:w="1329"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32,73</w:t>
            </w:r>
          </w:p>
        </w:tc>
        <w:tc>
          <w:tcPr>
            <w:tcW w:w="1693"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112,55</w:t>
            </w: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r>
      <w:tr w:rsidR="00572D4A" w:rsidRPr="00572D4A" w:rsidTr="00572D4A">
        <w:trPr>
          <w:trHeight w:val="300"/>
        </w:trPr>
        <w:tc>
          <w:tcPr>
            <w:tcW w:w="1831" w:type="dxa"/>
            <w:tcBorders>
              <w:top w:val="nil"/>
              <w:left w:val="single" w:sz="8" w:space="0" w:color="auto"/>
              <w:bottom w:val="nil"/>
              <w:right w:val="single" w:sz="8" w:space="0" w:color="auto"/>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 </w:t>
            </w:r>
          </w:p>
        </w:tc>
        <w:tc>
          <w:tcPr>
            <w:tcW w:w="894"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26 - 30</w:t>
            </w:r>
          </w:p>
        </w:tc>
        <w:tc>
          <w:tcPr>
            <w:tcW w:w="1246"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7,59</w:t>
            </w:r>
          </w:p>
        </w:tc>
        <w:tc>
          <w:tcPr>
            <w:tcW w:w="1430"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77,18</w:t>
            </w:r>
          </w:p>
        </w:tc>
        <w:tc>
          <w:tcPr>
            <w:tcW w:w="1329"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37,95</w:t>
            </w:r>
          </w:p>
        </w:tc>
        <w:tc>
          <w:tcPr>
            <w:tcW w:w="1693"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150,49</w:t>
            </w: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r>
      <w:tr w:rsidR="00572D4A" w:rsidRPr="00572D4A" w:rsidTr="00572D4A">
        <w:trPr>
          <w:trHeight w:val="300"/>
        </w:trPr>
        <w:tc>
          <w:tcPr>
            <w:tcW w:w="1831" w:type="dxa"/>
            <w:tcBorders>
              <w:top w:val="nil"/>
              <w:left w:val="single" w:sz="8" w:space="0" w:color="auto"/>
              <w:bottom w:val="nil"/>
              <w:right w:val="single" w:sz="8" w:space="0" w:color="auto"/>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 </w:t>
            </w:r>
          </w:p>
        </w:tc>
        <w:tc>
          <w:tcPr>
            <w:tcW w:w="894"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31 - 35</w:t>
            </w:r>
          </w:p>
        </w:tc>
        <w:tc>
          <w:tcPr>
            <w:tcW w:w="1246"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8,18</w:t>
            </w:r>
          </w:p>
        </w:tc>
        <w:tc>
          <w:tcPr>
            <w:tcW w:w="1430"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95,04</w:t>
            </w:r>
          </w:p>
        </w:tc>
        <w:tc>
          <w:tcPr>
            <w:tcW w:w="1329"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40,93</w:t>
            </w:r>
          </w:p>
        </w:tc>
        <w:tc>
          <w:tcPr>
            <w:tcW w:w="1693"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191,42</w:t>
            </w: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r>
      <w:tr w:rsidR="00572D4A" w:rsidRPr="00572D4A" w:rsidTr="00572D4A">
        <w:trPr>
          <w:trHeight w:val="300"/>
        </w:trPr>
        <w:tc>
          <w:tcPr>
            <w:tcW w:w="1831" w:type="dxa"/>
            <w:tcBorders>
              <w:top w:val="nil"/>
              <w:left w:val="single" w:sz="8" w:space="0" w:color="auto"/>
              <w:bottom w:val="nil"/>
              <w:right w:val="single" w:sz="8" w:space="0" w:color="auto"/>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 </w:t>
            </w:r>
          </w:p>
        </w:tc>
        <w:tc>
          <w:tcPr>
            <w:tcW w:w="894"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36 - 40</w:t>
            </w:r>
          </w:p>
        </w:tc>
        <w:tc>
          <w:tcPr>
            <w:tcW w:w="1246"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10,10</w:t>
            </w:r>
          </w:p>
        </w:tc>
        <w:tc>
          <w:tcPr>
            <w:tcW w:w="1430"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162,27</w:t>
            </w:r>
          </w:p>
        </w:tc>
        <w:tc>
          <w:tcPr>
            <w:tcW w:w="1329"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50,53</w:t>
            </w:r>
          </w:p>
        </w:tc>
        <w:tc>
          <w:tcPr>
            <w:tcW w:w="1693"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241,94</w:t>
            </w: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r>
      <w:tr w:rsidR="00572D4A" w:rsidRPr="00572D4A" w:rsidTr="00572D4A">
        <w:trPr>
          <w:trHeight w:val="300"/>
        </w:trPr>
        <w:tc>
          <w:tcPr>
            <w:tcW w:w="1831" w:type="dxa"/>
            <w:tcBorders>
              <w:top w:val="nil"/>
              <w:left w:val="single" w:sz="8" w:space="0" w:color="auto"/>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 </w:t>
            </w:r>
          </w:p>
        </w:tc>
        <w:tc>
          <w:tcPr>
            <w:tcW w:w="894"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41 - 50</w:t>
            </w:r>
          </w:p>
        </w:tc>
        <w:tc>
          <w:tcPr>
            <w:tcW w:w="1246"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11,09</w:t>
            </w:r>
          </w:p>
        </w:tc>
        <w:tc>
          <w:tcPr>
            <w:tcW w:w="1430"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201,76</w:t>
            </w:r>
          </w:p>
        </w:tc>
        <w:tc>
          <w:tcPr>
            <w:tcW w:w="1329"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110,93</w:t>
            </w:r>
          </w:p>
        </w:tc>
        <w:tc>
          <w:tcPr>
            <w:tcW w:w="1693"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352,88</w:t>
            </w: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r>
      <w:tr w:rsidR="00572D4A" w:rsidRPr="00572D4A" w:rsidTr="00572D4A">
        <w:trPr>
          <w:trHeight w:val="300"/>
        </w:trPr>
        <w:tc>
          <w:tcPr>
            <w:tcW w:w="1831" w:type="dxa"/>
            <w:tcBorders>
              <w:top w:val="nil"/>
              <w:left w:val="single" w:sz="8" w:space="0" w:color="auto"/>
              <w:bottom w:val="nil"/>
              <w:right w:val="single" w:sz="8" w:space="0" w:color="auto"/>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 </w:t>
            </w:r>
          </w:p>
        </w:tc>
        <w:tc>
          <w:tcPr>
            <w:tcW w:w="894"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center"/>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&gt; 50</w:t>
            </w:r>
          </w:p>
        </w:tc>
        <w:tc>
          <w:tcPr>
            <w:tcW w:w="1246"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13,23</w:t>
            </w:r>
          </w:p>
        </w:tc>
        <w:tc>
          <w:tcPr>
            <w:tcW w:w="1430"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308,63</w:t>
            </w:r>
          </w:p>
        </w:tc>
        <w:tc>
          <w:tcPr>
            <w:tcW w:w="1329"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0,00</w:t>
            </w:r>
          </w:p>
        </w:tc>
        <w:tc>
          <w:tcPr>
            <w:tcW w:w="1693"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0,00</w:t>
            </w: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r>
      <w:tr w:rsidR="00572D4A" w:rsidRPr="00572D4A" w:rsidTr="00572D4A">
        <w:trPr>
          <w:trHeight w:val="300"/>
        </w:trPr>
        <w:tc>
          <w:tcPr>
            <w:tcW w:w="1831" w:type="dxa"/>
            <w:tcBorders>
              <w:top w:val="single" w:sz="8" w:space="0" w:color="auto"/>
              <w:left w:val="single" w:sz="8" w:space="0" w:color="auto"/>
              <w:bottom w:val="nil"/>
              <w:right w:val="single" w:sz="8" w:space="0" w:color="auto"/>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COMERCIAL</w:t>
            </w:r>
          </w:p>
        </w:tc>
        <w:tc>
          <w:tcPr>
            <w:tcW w:w="894" w:type="dxa"/>
            <w:tcBorders>
              <w:top w:val="nil"/>
              <w:left w:val="nil"/>
              <w:bottom w:val="single" w:sz="8" w:space="0" w:color="auto"/>
              <w:right w:val="single" w:sz="8" w:space="0" w:color="auto"/>
            </w:tcBorders>
            <w:shd w:val="clear" w:color="000000" w:fill="CCFFFF"/>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 </w:t>
            </w:r>
          </w:p>
        </w:tc>
        <w:tc>
          <w:tcPr>
            <w:tcW w:w="1246"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0,00</w:t>
            </w:r>
          </w:p>
        </w:tc>
        <w:tc>
          <w:tcPr>
            <w:tcW w:w="1430"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0,00</w:t>
            </w:r>
          </w:p>
        </w:tc>
        <w:tc>
          <w:tcPr>
            <w:tcW w:w="1329"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0,00</w:t>
            </w:r>
          </w:p>
        </w:tc>
        <w:tc>
          <w:tcPr>
            <w:tcW w:w="1693"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0,00</w:t>
            </w: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r>
      <w:tr w:rsidR="00572D4A" w:rsidRPr="00572D4A" w:rsidTr="00572D4A">
        <w:trPr>
          <w:trHeight w:val="300"/>
        </w:trPr>
        <w:tc>
          <w:tcPr>
            <w:tcW w:w="1831" w:type="dxa"/>
            <w:tcBorders>
              <w:top w:val="nil"/>
              <w:left w:val="single" w:sz="8" w:space="0" w:color="auto"/>
              <w:bottom w:val="nil"/>
              <w:right w:val="single" w:sz="8" w:space="0" w:color="auto"/>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 </w:t>
            </w:r>
          </w:p>
        </w:tc>
        <w:tc>
          <w:tcPr>
            <w:tcW w:w="894"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0 - 15</w:t>
            </w:r>
          </w:p>
        </w:tc>
        <w:tc>
          <w:tcPr>
            <w:tcW w:w="1246"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7,98</w:t>
            </w:r>
          </w:p>
        </w:tc>
        <w:tc>
          <w:tcPr>
            <w:tcW w:w="1430"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0,00</w:t>
            </w:r>
          </w:p>
        </w:tc>
        <w:tc>
          <w:tcPr>
            <w:tcW w:w="1329"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79,82</w:t>
            </w:r>
          </w:p>
        </w:tc>
        <w:tc>
          <w:tcPr>
            <w:tcW w:w="1693"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79,82</w:t>
            </w: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r>
      <w:tr w:rsidR="00572D4A" w:rsidRPr="00572D4A" w:rsidTr="00572D4A">
        <w:trPr>
          <w:trHeight w:val="300"/>
        </w:trPr>
        <w:tc>
          <w:tcPr>
            <w:tcW w:w="1831" w:type="dxa"/>
            <w:tcBorders>
              <w:top w:val="nil"/>
              <w:left w:val="single" w:sz="8" w:space="0" w:color="auto"/>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 </w:t>
            </w:r>
          </w:p>
        </w:tc>
        <w:tc>
          <w:tcPr>
            <w:tcW w:w="894"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&gt; 15</w:t>
            </w:r>
          </w:p>
        </w:tc>
        <w:tc>
          <w:tcPr>
            <w:tcW w:w="1246"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9,58</w:t>
            </w:r>
          </w:p>
        </w:tc>
        <w:tc>
          <w:tcPr>
            <w:tcW w:w="1430"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15,96</w:t>
            </w:r>
          </w:p>
        </w:tc>
        <w:tc>
          <w:tcPr>
            <w:tcW w:w="1329"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0,00</w:t>
            </w:r>
          </w:p>
        </w:tc>
        <w:tc>
          <w:tcPr>
            <w:tcW w:w="1693"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0,00</w:t>
            </w: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r>
      <w:tr w:rsidR="00572D4A" w:rsidRPr="00572D4A" w:rsidTr="00572D4A">
        <w:trPr>
          <w:trHeight w:val="300"/>
        </w:trPr>
        <w:tc>
          <w:tcPr>
            <w:tcW w:w="1831" w:type="dxa"/>
            <w:tcBorders>
              <w:top w:val="nil"/>
              <w:left w:val="single" w:sz="8" w:space="0" w:color="auto"/>
              <w:bottom w:val="nil"/>
              <w:right w:val="single" w:sz="8" w:space="0" w:color="auto"/>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INDUSTRIAL</w:t>
            </w:r>
          </w:p>
        </w:tc>
        <w:tc>
          <w:tcPr>
            <w:tcW w:w="894" w:type="dxa"/>
            <w:tcBorders>
              <w:top w:val="nil"/>
              <w:left w:val="nil"/>
              <w:bottom w:val="single" w:sz="8" w:space="0" w:color="auto"/>
              <w:right w:val="single" w:sz="8" w:space="0" w:color="auto"/>
            </w:tcBorders>
            <w:shd w:val="clear" w:color="000000" w:fill="CCFFFF"/>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 </w:t>
            </w:r>
          </w:p>
        </w:tc>
        <w:tc>
          <w:tcPr>
            <w:tcW w:w="1246"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0,00</w:t>
            </w:r>
          </w:p>
        </w:tc>
        <w:tc>
          <w:tcPr>
            <w:tcW w:w="1430"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0,00</w:t>
            </w:r>
          </w:p>
        </w:tc>
        <w:tc>
          <w:tcPr>
            <w:tcW w:w="1329"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0,00</w:t>
            </w:r>
          </w:p>
        </w:tc>
        <w:tc>
          <w:tcPr>
            <w:tcW w:w="1693"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0,00</w:t>
            </w: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r>
      <w:tr w:rsidR="00572D4A" w:rsidRPr="00572D4A" w:rsidTr="00572D4A">
        <w:trPr>
          <w:trHeight w:val="300"/>
        </w:trPr>
        <w:tc>
          <w:tcPr>
            <w:tcW w:w="1831" w:type="dxa"/>
            <w:tcBorders>
              <w:top w:val="nil"/>
              <w:left w:val="single" w:sz="8" w:space="0" w:color="auto"/>
              <w:bottom w:val="nil"/>
              <w:right w:val="single" w:sz="8" w:space="0" w:color="auto"/>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 </w:t>
            </w:r>
          </w:p>
        </w:tc>
        <w:tc>
          <w:tcPr>
            <w:tcW w:w="894"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0 - 15</w:t>
            </w:r>
          </w:p>
        </w:tc>
        <w:tc>
          <w:tcPr>
            <w:tcW w:w="1246"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8,86</w:t>
            </w:r>
          </w:p>
        </w:tc>
        <w:tc>
          <w:tcPr>
            <w:tcW w:w="1430"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0,00</w:t>
            </w:r>
          </w:p>
        </w:tc>
        <w:tc>
          <w:tcPr>
            <w:tcW w:w="1329"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132,91</w:t>
            </w:r>
          </w:p>
        </w:tc>
        <w:tc>
          <w:tcPr>
            <w:tcW w:w="1693"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132,91</w:t>
            </w: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r>
      <w:tr w:rsidR="00572D4A" w:rsidRPr="00572D4A" w:rsidTr="00572D4A">
        <w:trPr>
          <w:trHeight w:val="300"/>
        </w:trPr>
        <w:tc>
          <w:tcPr>
            <w:tcW w:w="1831" w:type="dxa"/>
            <w:tcBorders>
              <w:top w:val="nil"/>
              <w:left w:val="single" w:sz="8" w:space="0" w:color="auto"/>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 </w:t>
            </w:r>
          </w:p>
        </w:tc>
        <w:tc>
          <w:tcPr>
            <w:tcW w:w="894"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&gt; 15</w:t>
            </w:r>
          </w:p>
        </w:tc>
        <w:tc>
          <w:tcPr>
            <w:tcW w:w="1246"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10,71</w:t>
            </w:r>
          </w:p>
        </w:tc>
        <w:tc>
          <w:tcPr>
            <w:tcW w:w="1430"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27,79</w:t>
            </w:r>
          </w:p>
        </w:tc>
        <w:tc>
          <w:tcPr>
            <w:tcW w:w="1329"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0,00</w:t>
            </w:r>
          </w:p>
        </w:tc>
        <w:tc>
          <w:tcPr>
            <w:tcW w:w="1693"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0,00</w:t>
            </w: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r>
      <w:tr w:rsidR="00572D4A" w:rsidRPr="00572D4A" w:rsidTr="00572D4A">
        <w:trPr>
          <w:trHeight w:val="300"/>
        </w:trPr>
        <w:tc>
          <w:tcPr>
            <w:tcW w:w="1831" w:type="dxa"/>
            <w:tcBorders>
              <w:top w:val="nil"/>
              <w:left w:val="single" w:sz="8" w:space="0" w:color="auto"/>
              <w:bottom w:val="nil"/>
              <w:right w:val="single" w:sz="8" w:space="0" w:color="auto"/>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PÚBLICA</w:t>
            </w:r>
          </w:p>
        </w:tc>
        <w:tc>
          <w:tcPr>
            <w:tcW w:w="894" w:type="dxa"/>
            <w:tcBorders>
              <w:top w:val="nil"/>
              <w:left w:val="nil"/>
              <w:bottom w:val="single" w:sz="8" w:space="0" w:color="auto"/>
              <w:right w:val="single" w:sz="8" w:space="0" w:color="auto"/>
            </w:tcBorders>
            <w:shd w:val="clear" w:color="000000" w:fill="CCFFFF"/>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 </w:t>
            </w:r>
          </w:p>
        </w:tc>
        <w:tc>
          <w:tcPr>
            <w:tcW w:w="1246"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 </w:t>
            </w:r>
          </w:p>
        </w:tc>
        <w:tc>
          <w:tcPr>
            <w:tcW w:w="1430"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 </w:t>
            </w:r>
          </w:p>
        </w:tc>
        <w:tc>
          <w:tcPr>
            <w:tcW w:w="1329"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 </w:t>
            </w:r>
          </w:p>
        </w:tc>
        <w:tc>
          <w:tcPr>
            <w:tcW w:w="1693"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 </w:t>
            </w: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r>
      <w:tr w:rsidR="00572D4A" w:rsidRPr="00572D4A" w:rsidTr="00572D4A">
        <w:trPr>
          <w:trHeight w:val="300"/>
        </w:trPr>
        <w:tc>
          <w:tcPr>
            <w:tcW w:w="1831" w:type="dxa"/>
            <w:tcBorders>
              <w:top w:val="nil"/>
              <w:left w:val="single" w:sz="8" w:space="0" w:color="auto"/>
              <w:bottom w:val="nil"/>
              <w:right w:val="single" w:sz="8" w:space="0" w:color="auto"/>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 </w:t>
            </w:r>
          </w:p>
        </w:tc>
        <w:tc>
          <w:tcPr>
            <w:tcW w:w="894"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0 - 15</w:t>
            </w:r>
          </w:p>
        </w:tc>
        <w:tc>
          <w:tcPr>
            <w:tcW w:w="1246" w:type="dxa"/>
            <w:tcBorders>
              <w:top w:val="nil"/>
              <w:left w:val="nil"/>
              <w:bottom w:val="nil"/>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5,32</w:t>
            </w:r>
          </w:p>
        </w:tc>
        <w:tc>
          <w:tcPr>
            <w:tcW w:w="1430" w:type="dxa"/>
            <w:tcBorders>
              <w:top w:val="nil"/>
              <w:left w:val="nil"/>
              <w:bottom w:val="nil"/>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0,00</w:t>
            </w:r>
          </w:p>
        </w:tc>
        <w:tc>
          <w:tcPr>
            <w:tcW w:w="1329" w:type="dxa"/>
            <w:tcBorders>
              <w:top w:val="nil"/>
              <w:left w:val="nil"/>
              <w:bottom w:val="nil"/>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79,74</w:t>
            </w:r>
          </w:p>
        </w:tc>
        <w:tc>
          <w:tcPr>
            <w:tcW w:w="1693" w:type="dxa"/>
            <w:tcBorders>
              <w:top w:val="nil"/>
              <w:left w:val="nil"/>
              <w:bottom w:val="nil"/>
              <w:right w:val="single" w:sz="8"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79,74</w:t>
            </w: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r>
      <w:tr w:rsidR="00572D4A" w:rsidRPr="00572D4A" w:rsidTr="00572D4A">
        <w:trPr>
          <w:trHeight w:val="300"/>
        </w:trPr>
        <w:tc>
          <w:tcPr>
            <w:tcW w:w="1831" w:type="dxa"/>
            <w:tcBorders>
              <w:top w:val="nil"/>
              <w:left w:val="single" w:sz="8" w:space="0" w:color="auto"/>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 </w:t>
            </w:r>
          </w:p>
        </w:tc>
        <w:tc>
          <w:tcPr>
            <w:tcW w:w="894" w:type="dxa"/>
            <w:tcBorders>
              <w:top w:val="nil"/>
              <w:left w:val="nil"/>
              <w:bottom w:val="single" w:sz="8" w:space="0" w:color="auto"/>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&gt; 15</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7,89</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38,55</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0,00</w:t>
            </w:r>
          </w:p>
        </w:tc>
        <w:tc>
          <w:tcPr>
            <w:tcW w:w="1693" w:type="dxa"/>
            <w:tcBorders>
              <w:top w:val="single" w:sz="4" w:space="0" w:color="auto"/>
              <w:left w:val="nil"/>
              <w:bottom w:val="single" w:sz="4" w:space="0" w:color="auto"/>
              <w:right w:val="single" w:sz="4"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0,00</w:t>
            </w: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r>
      <w:tr w:rsidR="00572D4A" w:rsidRPr="00572D4A" w:rsidTr="00572D4A">
        <w:trPr>
          <w:trHeight w:val="285"/>
        </w:trPr>
        <w:tc>
          <w:tcPr>
            <w:tcW w:w="1831"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p>
        </w:tc>
        <w:tc>
          <w:tcPr>
            <w:tcW w:w="894"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p>
        </w:tc>
        <w:tc>
          <w:tcPr>
            <w:tcW w:w="1246"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p>
        </w:tc>
        <w:tc>
          <w:tcPr>
            <w:tcW w:w="143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p>
        </w:tc>
        <w:tc>
          <w:tcPr>
            <w:tcW w:w="1329"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p>
        </w:tc>
        <w:tc>
          <w:tcPr>
            <w:tcW w:w="1693"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r>
      <w:tr w:rsidR="00572D4A" w:rsidRPr="00572D4A" w:rsidTr="00572D4A">
        <w:trPr>
          <w:trHeight w:val="300"/>
        </w:trPr>
        <w:tc>
          <w:tcPr>
            <w:tcW w:w="1831"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p>
        </w:tc>
        <w:tc>
          <w:tcPr>
            <w:tcW w:w="894"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p>
        </w:tc>
        <w:tc>
          <w:tcPr>
            <w:tcW w:w="1246"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p>
        </w:tc>
        <w:tc>
          <w:tcPr>
            <w:tcW w:w="143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p>
        </w:tc>
        <w:tc>
          <w:tcPr>
            <w:tcW w:w="1329"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p>
        </w:tc>
        <w:tc>
          <w:tcPr>
            <w:tcW w:w="1693"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r>
      <w:tr w:rsidR="00572D4A" w:rsidRPr="00572D4A" w:rsidTr="00572D4A">
        <w:trPr>
          <w:trHeight w:val="300"/>
        </w:trPr>
        <w:tc>
          <w:tcPr>
            <w:tcW w:w="18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jc w:val="center"/>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SOCIAL</w:t>
            </w:r>
          </w:p>
        </w:tc>
        <w:tc>
          <w:tcPr>
            <w:tcW w:w="894" w:type="dxa"/>
            <w:tcBorders>
              <w:top w:val="single" w:sz="8" w:space="0" w:color="auto"/>
              <w:left w:val="nil"/>
              <w:bottom w:val="single" w:sz="8" w:space="0" w:color="auto"/>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0 - 10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0,94</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0,00</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9,43</w:t>
            </w:r>
          </w:p>
        </w:tc>
        <w:tc>
          <w:tcPr>
            <w:tcW w:w="1693" w:type="dxa"/>
            <w:tcBorders>
              <w:top w:val="single" w:sz="4" w:space="0" w:color="auto"/>
              <w:left w:val="nil"/>
              <w:bottom w:val="single" w:sz="4" w:space="0" w:color="auto"/>
              <w:right w:val="single" w:sz="4" w:space="0" w:color="auto"/>
            </w:tcBorders>
            <w:shd w:val="clear" w:color="auto" w:fill="auto"/>
            <w:noWrap/>
            <w:vAlign w:val="bottom"/>
            <w:hideMark/>
          </w:tcPr>
          <w:p w:rsidR="00572D4A" w:rsidRPr="00572D4A" w:rsidRDefault="00572D4A" w:rsidP="00572D4A">
            <w:pPr>
              <w:spacing w:after="0" w:line="240" w:lineRule="auto"/>
              <w:jc w:val="right"/>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9,43</w:t>
            </w: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r>
      <w:tr w:rsidR="00572D4A" w:rsidRPr="00572D4A" w:rsidTr="00572D4A">
        <w:trPr>
          <w:trHeight w:val="285"/>
        </w:trPr>
        <w:tc>
          <w:tcPr>
            <w:tcW w:w="1831"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p>
        </w:tc>
        <w:tc>
          <w:tcPr>
            <w:tcW w:w="894"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p>
        </w:tc>
        <w:tc>
          <w:tcPr>
            <w:tcW w:w="1246"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p>
        </w:tc>
        <w:tc>
          <w:tcPr>
            <w:tcW w:w="143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p>
        </w:tc>
        <w:tc>
          <w:tcPr>
            <w:tcW w:w="1329"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p>
        </w:tc>
        <w:tc>
          <w:tcPr>
            <w:tcW w:w="1693"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r>
      <w:tr w:rsidR="00572D4A" w:rsidRPr="00572D4A" w:rsidTr="00572D4A">
        <w:trPr>
          <w:trHeight w:val="300"/>
        </w:trPr>
        <w:tc>
          <w:tcPr>
            <w:tcW w:w="1831"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p>
        </w:tc>
        <w:tc>
          <w:tcPr>
            <w:tcW w:w="894"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p>
        </w:tc>
        <w:tc>
          <w:tcPr>
            <w:tcW w:w="1246"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p>
        </w:tc>
        <w:tc>
          <w:tcPr>
            <w:tcW w:w="143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p>
        </w:tc>
        <w:tc>
          <w:tcPr>
            <w:tcW w:w="1329"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p>
        </w:tc>
        <w:tc>
          <w:tcPr>
            <w:tcW w:w="1693"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r>
      <w:tr w:rsidR="00572D4A" w:rsidRPr="00572D4A" w:rsidTr="00572D4A">
        <w:trPr>
          <w:trHeight w:val="300"/>
        </w:trPr>
        <w:tc>
          <w:tcPr>
            <w:tcW w:w="1831" w:type="dxa"/>
            <w:tcBorders>
              <w:top w:val="single" w:sz="8" w:space="0" w:color="auto"/>
              <w:left w:val="single" w:sz="8" w:space="0" w:color="auto"/>
              <w:bottom w:val="nil"/>
              <w:right w:val="nil"/>
            </w:tcBorders>
            <w:shd w:val="clear" w:color="auto" w:fill="auto"/>
            <w:noWrap/>
            <w:vAlign w:val="bottom"/>
            <w:hideMark/>
          </w:tcPr>
          <w:p w:rsidR="00572D4A" w:rsidRPr="00572D4A" w:rsidRDefault="00572D4A" w:rsidP="00572D4A">
            <w:pPr>
              <w:spacing w:after="0" w:line="240" w:lineRule="auto"/>
              <w:jc w:val="center"/>
              <w:rPr>
                <w:rFonts w:ascii="Arial" w:eastAsia="Times New Roman" w:hAnsi="Arial" w:cs="Arial"/>
                <w:bCs/>
                <w:color w:val="000000"/>
                <w:sz w:val="16"/>
                <w:szCs w:val="16"/>
                <w:lang w:eastAsia="pt-BR"/>
              </w:rPr>
            </w:pPr>
            <w:r w:rsidRPr="00572D4A">
              <w:rPr>
                <w:rFonts w:ascii="Arial" w:eastAsia="Times New Roman" w:hAnsi="Arial" w:cs="Arial"/>
                <w:bCs/>
                <w:color w:val="000000"/>
                <w:sz w:val="16"/>
                <w:szCs w:val="16"/>
                <w:lang w:eastAsia="pt-BR"/>
              </w:rPr>
              <w:t>LEGENDA</w:t>
            </w:r>
          </w:p>
        </w:tc>
        <w:tc>
          <w:tcPr>
            <w:tcW w:w="7552" w:type="dxa"/>
            <w:gridSpan w:val="6"/>
            <w:tcBorders>
              <w:top w:val="single" w:sz="8" w:space="0" w:color="auto"/>
              <w:left w:val="nil"/>
              <w:bottom w:val="nil"/>
              <w:right w:val="single" w:sz="8" w:space="0" w:color="000000"/>
            </w:tcBorders>
            <w:shd w:val="clear" w:color="auto" w:fill="auto"/>
            <w:noWrap/>
            <w:vAlign w:val="bottom"/>
            <w:hideMark/>
          </w:tcPr>
          <w:p w:rsidR="00572D4A" w:rsidRPr="00572D4A" w:rsidRDefault="00572D4A" w:rsidP="00572D4A">
            <w:pPr>
              <w:spacing w:after="0" w:line="240" w:lineRule="auto"/>
              <w:jc w:val="center"/>
              <w:rPr>
                <w:rFonts w:ascii="Arial" w:eastAsia="Times New Roman" w:hAnsi="Arial" w:cs="Arial"/>
                <w:bCs/>
                <w:color w:val="000000"/>
                <w:sz w:val="16"/>
                <w:szCs w:val="16"/>
                <w:lang w:eastAsia="pt-BR"/>
              </w:rPr>
            </w:pPr>
            <w:r w:rsidRPr="00572D4A">
              <w:rPr>
                <w:rFonts w:ascii="Arial" w:eastAsia="Times New Roman" w:hAnsi="Arial" w:cs="Arial"/>
                <w:bCs/>
                <w:color w:val="000000"/>
                <w:sz w:val="16"/>
                <w:szCs w:val="16"/>
                <w:lang w:eastAsia="pt-BR"/>
              </w:rPr>
              <w:t>DESCRIÇÃO</w:t>
            </w: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r>
      <w:tr w:rsidR="00572D4A" w:rsidRPr="00572D4A" w:rsidTr="00572D4A">
        <w:trPr>
          <w:trHeight w:val="300"/>
        </w:trPr>
        <w:tc>
          <w:tcPr>
            <w:tcW w:w="1831" w:type="dxa"/>
            <w:tcBorders>
              <w:top w:val="nil"/>
              <w:left w:val="single" w:sz="8" w:space="0" w:color="auto"/>
              <w:bottom w:val="nil"/>
              <w:right w:val="nil"/>
            </w:tcBorders>
            <w:shd w:val="clear" w:color="auto" w:fill="auto"/>
            <w:noWrap/>
            <w:vAlign w:val="bottom"/>
            <w:hideMark/>
          </w:tcPr>
          <w:p w:rsidR="00572D4A" w:rsidRPr="00572D4A" w:rsidRDefault="00572D4A" w:rsidP="00572D4A">
            <w:pPr>
              <w:spacing w:after="0" w:line="240" w:lineRule="auto"/>
              <w:jc w:val="center"/>
              <w:rPr>
                <w:rFonts w:ascii="Arial" w:eastAsia="Times New Roman" w:hAnsi="Arial" w:cs="Arial"/>
                <w:bCs/>
                <w:color w:val="000000"/>
                <w:sz w:val="16"/>
                <w:szCs w:val="16"/>
                <w:lang w:eastAsia="pt-BR"/>
              </w:rPr>
            </w:pPr>
            <w:proofErr w:type="gramStart"/>
            <w:r w:rsidRPr="00572D4A">
              <w:rPr>
                <w:rFonts w:ascii="Arial" w:eastAsia="Times New Roman" w:hAnsi="Arial" w:cs="Arial"/>
                <w:bCs/>
                <w:color w:val="000000"/>
                <w:sz w:val="16"/>
                <w:szCs w:val="16"/>
                <w:lang w:eastAsia="pt-BR"/>
              </w:rPr>
              <w:t>1</w:t>
            </w:r>
            <w:proofErr w:type="gramEnd"/>
          </w:p>
        </w:tc>
        <w:tc>
          <w:tcPr>
            <w:tcW w:w="7552" w:type="dxa"/>
            <w:gridSpan w:val="6"/>
            <w:tcBorders>
              <w:top w:val="nil"/>
              <w:left w:val="nil"/>
              <w:bottom w:val="nil"/>
              <w:right w:val="single" w:sz="8" w:space="0" w:color="000000"/>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Alí</w:t>
            </w:r>
            <w:r w:rsidR="00782F3B">
              <w:rPr>
                <w:rFonts w:ascii="Arial" w:eastAsia="Times New Roman" w:hAnsi="Arial" w:cs="Arial"/>
                <w:color w:val="000000"/>
                <w:sz w:val="16"/>
                <w:szCs w:val="16"/>
                <w:lang w:eastAsia="pt-BR"/>
              </w:rPr>
              <w:t>q</w:t>
            </w:r>
            <w:r w:rsidRPr="00572D4A">
              <w:rPr>
                <w:rFonts w:ascii="Arial" w:eastAsia="Times New Roman" w:hAnsi="Arial" w:cs="Arial"/>
                <w:color w:val="000000"/>
                <w:sz w:val="16"/>
                <w:szCs w:val="16"/>
                <w:lang w:eastAsia="pt-BR"/>
              </w:rPr>
              <w:t>uota apurada no estudo tarifário processo ATR 2013 3899 000380.</w:t>
            </w: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r>
      <w:tr w:rsidR="00572D4A" w:rsidRPr="00572D4A" w:rsidTr="00572D4A">
        <w:trPr>
          <w:trHeight w:val="300"/>
        </w:trPr>
        <w:tc>
          <w:tcPr>
            <w:tcW w:w="1831" w:type="dxa"/>
            <w:tcBorders>
              <w:top w:val="nil"/>
              <w:left w:val="single" w:sz="8" w:space="0" w:color="auto"/>
              <w:bottom w:val="nil"/>
              <w:right w:val="nil"/>
            </w:tcBorders>
            <w:shd w:val="clear" w:color="auto" w:fill="auto"/>
            <w:noWrap/>
            <w:vAlign w:val="bottom"/>
            <w:hideMark/>
          </w:tcPr>
          <w:p w:rsidR="00572D4A" w:rsidRPr="00572D4A" w:rsidRDefault="00572D4A" w:rsidP="00572D4A">
            <w:pPr>
              <w:spacing w:after="0" w:line="240" w:lineRule="auto"/>
              <w:jc w:val="center"/>
              <w:rPr>
                <w:rFonts w:ascii="Arial" w:eastAsia="Times New Roman" w:hAnsi="Arial" w:cs="Arial"/>
                <w:bCs/>
                <w:color w:val="000000"/>
                <w:sz w:val="16"/>
                <w:szCs w:val="16"/>
                <w:lang w:eastAsia="pt-BR"/>
              </w:rPr>
            </w:pPr>
            <w:proofErr w:type="gramStart"/>
            <w:r w:rsidRPr="00572D4A">
              <w:rPr>
                <w:rFonts w:ascii="Arial" w:eastAsia="Times New Roman" w:hAnsi="Arial" w:cs="Arial"/>
                <w:bCs/>
                <w:color w:val="000000"/>
                <w:sz w:val="16"/>
                <w:szCs w:val="16"/>
                <w:lang w:eastAsia="pt-BR"/>
              </w:rPr>
              <w:t>2</w:t>
            </w:r>
            <w:proofErr w:type="gramEnd"/>
          </w:p>
        </w:tc>
        <w:tc>
          <w:tcPr>
            <w:tcW w:w="7552" w:type="dxa"/>
            <w:gridSpan w:val="6"/>
            <w:tcBorders>
              <w:top w:val="nil"/>
              <w:left w:val="nil"/>
              <w:bottom w:val="nil"/>
              <w:right w:val="single" w:sz="8" w:space="0" w:color="000000"/>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 xml:space="preserve">IPCA Acumulado de janeiro a setembro/2014 (4,60896) e projeção </w:t>
            </w: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r>
      <w:tr w:rsidR="00572D4A" w:rsidRPr="00572D4A" w:rsidTr="00572D4A">
        <w:trPr>
          <w:trHeight w:val="300"/>
        </w:trPr>
        <w:tc>
          <w:tcPr>
            <w:tcW w:w="1831" w:type="dxa"/>
            <w:tcBorders>
              <w:top w:val="nil"/>
              <w:left w:val="single" w:sz="8" w:space="0" w:color="auto"/>
              <w:bottom w:val="nil"/>
              <w:right w:val="nil"/>
            </w:tcBorders>
            <w:shd w:val="clear" w:color="auto" w:fill="auto"/>
            <w:noWrap/>
            <w:vAlign w:val="bottom"/>
            <w:hideMark/>
          </w:tcPr>
          <w:p w:rsidR="00572D4A" w:rsidRPr="00572D4A" w:rsidRDefault="00572D4A" w:rsidP="00572D4A">
            <w:pPr>
              <w:spacing w:after="0" w:line="240" w:lineRule="auto"/>
              <w:jc w:val="center"/>
              <w:rPr>
                <w:rFonts w:ascii="Arial" w:eastAsia="Times New Roman" w:hAnsi="Arial" w:cs="Arial"/>
                <w:bCs/>
                <w:color w:val="000000"/>
                <w:sz w:val="16"/>
                <w:szCs w:val="16"/>
                <w:lang w:eastAsia="pt-BR"/>
              </w:rPr>
            </w:pPr>
            <w:proofErr w:type="gramStart"/>
            <w:r w:rsidRPr="00572D4A">
              <w:rPr>
                <w:rFonts w:ascii="Arial" w:eastAsia="Times New Roman" w:hAnsi="Arial" w:cs="Arial"/>
                <w:bCs/>
                <w:color w:val="000000"/>
                <w:sz w:val="16"/>
                <w:szCs w:val="16"/>
                <w:lang w:eastAsia="pt-BR"/>
              </w:rPr>
              <w:t>3</w:t>
            </w:r>
            <w:proofErr w:type="gramEnd"/>
          </w:p>
        </w:tc>
        <w:tc>
          <w:tcPr>
            <w:tcW w:w="4899" w:type="dxa"/>
            <w:gridSpan w:val="4"/>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Soma da alíquota apurada com IPCA Acumulado.</w:t>
            </w:r>
          </w:p>
        </w:tc>
        <w:tc>
          <w:tcPr>
            <w:tcW w:w="1693"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p>
        </w:tc>
        <w:tc>
          <w:tcPr>
            <w:tcW w:w="960" w:type="dxa"/>
            <w:tcBorders>
              <w:top w:val="nil"/>
              <w:left w:val="nil"/>
              <w:bottom w:val="nil"/>
              <w:right w:val="single" w:sz="8" w:space="0" w:color="auto"/>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r w:rsidRPr="00572D4A">
              <w:rPr>
                <w:rFonts w:ascii="Arial" w:eastAsia="Times New Roman" w:hAnsi="Arial" w:cs="Arial"/>
                <w:color w:val="000000"/>
                <w:lang w:eastAsia="pt-BR"/>
              </w:rPr>
              <w:t> </w:t>
            </w: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r>
      <w:tr w:rsidR="00572D4A" w:rsidRPr="00572D4A" w:rsidTr="00572D4A">
        <w:trPr>
          <w:trHeight w:val="300"/>
        </w:trPr>
        <w:tc>
          <w:tcPr>
            <w:tcW w:w="1831" w:type="dxa"/>
            <w:tcBorders>
              <w:top w:val="nil"/>
              <w:left w:val="single" w:sz="8" w:space="0" w:color="auto"/>
              <w:bottom w:val="nil"/>
              <w:right w:val="nil"/>
            </w:tcBorders>
            <w:shd w:val="clear" w:color="auto" w:fill="auto"/>
            <w:noWrap/>
            <w:vAlign w:val="bottom"/>
            <w:hideMark/>
          </w:tcPr>
          <w:p w:rsidR="00572D4A" w:rsidRPr="00572D4A" w:rsidRDefault="00572D4A" w:rsidP="00572D4A">
            <w:pPr>
              <w:spacing w:after="0" w:line="240" w:lineRule="auto"/>
              <w:jc w:val="center"/>
              <w:rPr>
                <w:rFonts w:ascii="Arial" w:eastAsia="Times New Roman" w:hAnsi="Arial" w:cs="Arial"/>
                <w:bCs/>
                <w:color w:val="000000"/>
                <w:sz w:val="16"/>
                <w:szCs w:val="16"/>
                <w:lang w:eastAsia="pt-BR"/>
              </w:rPr>
            </w:pPr>
            <w:proofErr w:type="gramStart"/>
            <w:r w:rsidRPr="00572D4A">
              <w:rPr>
                <w:rFonts w:ascii="Arial" w:eastAsia="Times New Roman" w:hAnsi="Arial" w:cs="Arial"/>
                <w:bCs/>
                <w:color w:val="000000"/>
                <w:sz w:val="16"/>
                <w:szCs w:val="16"/>
                <w:lang w:eastAsia="pt-BR"/>
              </w:rPr>
              <w:t>4</w:t>
            </w:r>
            <w:proofErr w:type="gramEnd"/>
          </w:p>
        </w:tc>
        <w:tc>
          <w:tcPr>
            <w:tcW w:w="6592" w:type="dxa"/>
            <w:gridSpan w:val="5"/>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Reajuste concedido Resolução 089/2014 com IPCA até dez/2013.</w:t>
            </w:r>
          </w:p>
        </w:tc>
        <w:tc>
          <w:tcPr>
            <w:tcW w:w="960" w:type="dxa"/>
            <w:tcBorders>
              <w:top w:val="nil"/>
              <w:left w:val="nil"/>
              <w:bottom w:val="nil"/>
              <w:right w:val="single" w:sz="8" w:space="0" w:color="auto"/>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r w:rsidRPr="00572D4A">
              <w:rPr>
                <w:rFonts w:ascii="Arial" w:eastAsia="Times New Roman" w:hAnsi="Arial" w:cs="Arial"/>
                <w:color w:val="000000"/>
                <w:lang w:eastAsia="pt-BR"/>
              </w:rPr>
              <w:t> </w:t>
            </w: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r>
      <w:tr w:rsidR="00572D4A" w:rsidRPr="00572D4A" w:rsidTr="00572D4A">
        <w:trPr>
          <w:trHeight w:val="315"/>
        </w:trPr>
        <w:tc>
          <w:tcPr>
            <w:tcW w:w="1831" w:type="dxa"/>
            <w:tcBorders>
              <w:top w:val="nil"/>
              <w:left w:val="single" w:sz="8" w:space="0" w:color="auto"/>
              <w:bottom w:val="single" w:sz="8" w:space="0" w:color="auto"/>
              <w:right w:val="nil"/>
            </w:tcBorders>
            <w:shd w:val="clear" w:color="auto" w:fill="auto"/>
            <w:noWrap/>
            <w:vAlign w:val="bottom"/>
            <w:hideMark/>
          </w:tcPr>
          <w:p w:rsidR="00572D4A" w:rsidRPr="00572D4A" w:rsidRDefault="00572D4A" w:rsidP="00572D4A">
            <w:pPr>
              <w:spacing w:after="0" w:line="240" w:lineRule="auto"/>
              <w:jc w:val="center"/>
              <w:rPr>
                <w:rFonts w:ascii="Arial" w:eastAsia="Times New Roman" w:hAnsi="Arial" w:cs="Arial"/>
                <w:bCs/>
                <w:color w:val="000000"/>
                <w:sz w:val="16"/>
                <w:szCs w:val="16"/>
                <w:lang w:eastAsia="pt-BR"/>
              </w:rPr>
            </w:pPr>
            <w:proofErr w:type="gramStart"/>
            <w:r w:rsidRPr="00572D4A">
              <w:rPr>
                <w:rFonts w:ascii="Arial" w:eastAsia="Times New Roman" w:hAnsi="Arial" w:cs="Arial"/>
                <w:bCs/>
                <w:color w:val="000000"/>
                <w:sz w:val="16"/>
                <w:szCs w:val="16"/>
                <w:lang w:eastAsia="pt-BR"/>
              </w:rPr>
              <w:t>5</w:t>
            </w:r>
            <w:proofErr w:type="gramEnd"/>
          </w:p>
        </w:tc>
        <w:tc>
          <w:tcPr>
            <w:tcW w:w="4899" w:type="dxa"/>
            <w:gridSpan w:val="4"/>
            <w:tcBorders>
              <w:top w:val="nil"/>
              <w:left w:val="nil"/>
              <w:bottom w:val="single" w:sz="8" w:space="0" w:color="auto"/>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Alinhamento para implantação do modelo.</w:t>
            </w:r>
          </w:p>
        </w:tc>
        <w:tc>
          <w:tcPr>
            <w:tcW w:w="1693" w:type="dxa"/>
            <w:tcBorders>
              <w:top w:val="nil"/>
              <w:left w:val="nil"/>
              <w:bottom w:val="single" w:sz="8" w:space="0" w:color="auto"/>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r w:rsidRPr="00572D4A">
              <w:rPr>
                <w:rFonts w:ascii="Arial" w:eastAsia="Times New Roman" w:hAnsi="Arial" w:cs="Arial"/>
                <w:color w:val="000000"/>
                <w:lang w:eastAsia="pt-BR"/>
              </w:rPr>
              <w:t> </w:t>
            </w: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r>
      <w:tr w:rsidR="00572D4A" w:rsidRPr="00572D4A" w:rsidTr="00572D4A">
        <w:trPr>
          <w:trHeight w:val="285"/>
        </w:trPr>
        <w:tc>
          <w:tcPr>
            <w:tcW w:w="1831"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p>
        </w:tc>
        <w:tc>
          <w:tcPr>
            <w:tcW w:w="894"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p>
        </w:tc>
        <w:tc>
          <w:tcPr>
            <w:tcW w:w="1246"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p>
        </w:tc>
        <w:tc>
          <w:tcPr>
            <w:tcW w:w="143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p>
        </w:tc>
        <w:tc>
          <w:tcPr>
            <w:tcW w:w="1329"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p>
        </w:tc>
        <w:tc>
          <w:tcPr>
            <w:tcW w:w="1693"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r>
      <w:tr w:rsidR="00572D4A" w:rsidRPr="00572D4A" w:rsidTr="00572D4A">
        <w:trPr>
          <w:trHeight w:val="300"/>
        </w:trPr>
        <w:tc>
          <w:tcPr>
            <w:tcW w:w="1831"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bCs/>
                <w:color w:val="000000"/>
                <w:sz w:val="16"/>
                <w:szCs w:val="16"/>
                <w:lang w:eastAsia="pt-BR"/>
              </w:rPr>
            </w:pPr>
            <w:r w:rsidRPr="00572D4A">
              <w:rPr>
                <w:rFonts w:ascii="Arial" w:eastAsia="Times New Roman" w:hAnsi="Arial" w:cs="Arial"/>
                <w:bCs/>
                <w:color w:val="000000"/>
                <w:sz w:val="16"/>
                <w:szCs w:val="16"/>
                <w:lang w:eastAsia="pt-BR"/>
              </w:rPr>
              <w:t xml:space="preserve">Nota </w:t>
            </w:r>
          </w:p>
        </w:tc>
        <w:tc>
          <w:tcPr>
            <w:tcW w:w="7552" w:type="dxa"/>
            <w:gridSpan w:val="6"/>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O IPCA refere-se ao percentual acumulado de janeiro a setembro de 2014</w:t>
            </w: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r>
      <w:tr w:rsidR="00572D4A" w:rsidRPr="00572D4A" w:rsidTr="00572D4A">
        <w:trPr>
          <w:trHeight w:val="300"/>
        </w:trPr>
        <w:tc>
          <w:tcPr>
            <w:tcW w:w="1831"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b/>
                <w:bCs/>
                <w:color w:val="000000"/>
                <w:sz w:val="16"/>
                <w:szCs w:val="16"/>
                <w:lang w:eastAsia="pt-BR"/>
              </w:rPr>
            </w:pPr>
          </w:p>
        </w:tc>
        <w:tc>
          <w:tcPr>
            <w:tcW w:w="7552" w:type="dxa"/>
            <w:gridSpan w:val="6"/>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r w:rsidRPr="00572D4A">
              <w:rPr>
                <w:rFonts w:ascii="Arial" w:eastAsia="Times New Roman" w:hAnsi="Arial" w:cs="Arial"/>
                <w:color w:val="000000"/>
                <w:sz w:val="16"/>
                <w:szCs w:val="16"/>
                <w:lang w:eastAsia="pt-BR"/>
              </w:rPr>
              <w:t xml:space="preserve">(4,60896) e à projeção do Sistema </w:t>
            </w:r>
            <w:proofErr w:type="spellStart"/>
            <w:r w:rsidRPr="00572D4A">
              <w:rPr>
                <w:rFonts w:ascii="Arial" w:eastAsia="Times New Roman" w:hAnsi="Arial" w:cs="Arial"/>
                <w:color w:val="000000"/>
                <w:sz w:val="16"/>
                <w:szCs w:val="16"/>
                <w:lang w:eastAsia="pt-BR"/>
              </w:rPr>
              <w:t>Focus</w:t>
            </w:r>
            <w:proofErr w:type="spellEnd"/>
            <w:r w:rsidRPr="00572D4A">
              <w:rPr>
                <w:rFonts w:ascii="Arial" w:eastAsia="Times New Roman" w:hAnsi="Arial" w:cs="Arial"/>
                <w:color w:val="000000"/>
                <w:sz w:val="16"/>
                <w:szCs w:val="16"/>
                <w:lang w:eastAsia="pt-BR"/>
              </w:rPr>
              <w:t xml:space="preserve"> do Banco Central do Brasil para </w:t>
            </w: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r>
      <w:tr w:rsidR="00572D4A" w:rsidRPr="00572D4A" w:rsidTr="00572D4A">
        <w:trPr>
          <w:trHeight w:val="285"/>
        </w:trPr>
        <w:tc>
          <w:tcPr>
            <w:tcW w:w="1831"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p>
        </w:tc>
        <w:tc>
          <w:tcPr>
            <w:tcW w:w="7552" w:type="dxa"/>
            <w:gridSpan w:val="6"/>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proofErr w:type="gramStart"/>
            <w:r w:rsidRPr="00572D4A">
              <w:rPr>
                <w:rFonts w:ascii="Arial" w:eastAsia="Times New Roman" w:hAnsi="Arial" w:cs="Arial"/>
                <w:color w:val="000000"/>
                <w:sz w:val="16"/>
                <w:szCs w:val="16"/>
                <w:lang w:eastAsia="pt-BR"/>
              </w:rPr>
              <w:t>os</w:t>
            </w:r>
            <w:proofErr w:type="gramEnd"/>
            <w:r w:rsidRPr="00572D4A">
              <w:rPr>
                <w:rFonts w:ascii="Arial" w:eastAsia="Times New Roman" w:hAnsi="Arial" w:cs="Arial"/>
                <w:color w:val="000000"/>
                <w:sz w:val="16"/>
                <w:szCs w:val="16"/>
                <w:lang w:eastAsia="pt-BR"/>
              </w:rPr>
              <w:t xml:space="preserve"> meses de </w:t>
            </w:r>
            <w:proofErr w:type="spellStart"/>
            <w:r w:rsidRPr="00572D4A">
              <w:rPr>
                <w:rFonts w:ascii="Arial" w:eastAsia="Times New Roman" w:hAnsi="Arial" w:cs="Arial"/>
                <w:color w:val="000000"/>
                <w:sz w:val="16"/>
                <w:szCs w:val="16"/>
                <w:lang w:eastAsia="pt-BR"/>
              </w:rPr>
              <w:t>de</w:t>
            </w:r>
            <w:proofErr w:type="spellEnd"/>
            <w:r w:rsidRPr="00572D4A">
              <w:rPr>
                <w:rFonts w:ascii="Arial" w:eastAsia="Times New Roman" w:hAnsi="Arial" w:cs="Arial"/>
                <w:color w:val="000000"/>
                <w:sz w:val="16"/>
                <w:szCs w:val="16"/>
                <w:lang w:eastAsia="pt-BR"/>
              </w:rPr>
              <w:t xml:space="preserve"> outubro(0,50%), novembro (0,57%)  e dezembro (0,66%) </w:t>
            </w: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r>
      <w:tr w:rsidR="00572D4A" w:rsidRPr="00572D4A" w:rsidTr="00572D4A">
        <w:trPr>
          <w:trHeight w:val="285"/>
        </w:trPr>
        <w:tc>
          <w:tcPr>
            <w:tcW w:w="1831"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p>
        </w:tc>
        <w:tc>
          <w:tcPr>
            <w:tcW w:w="3570" w:type="dxa"/>
            <w:gridSpan w:val="3"/>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proofErr w:type="gramStart"/>
            <w:r w:rsidRPr="00572D4A">
              <w:rPr>
                <w:rFonts w:ascii="Arial" w:eastAsia="Times New Roman" w:hAnsi="Arial" w:cs="Arial"/>
                <w:color w:val="000000"/>
                <w:sz w:val="16"/>
                <w:szCs w:val="16"/>
                <w:lang w:eastAsia="pt-BR"/>
              </w:rPr>
              <w:t>de</w:t>
            </w:r>
            <w:proofErr w:type="gramEnd"/>
            <w:r w:rsidRPr="00572D4A">
              <w:rPr>
                <w:rFonts w:ascii="Arial" w:eastAsia="Times New Roman" w:hAnsi="Arial" w:cs="Arial"/>
                <w:color w:val="000000"/>
                <w:sz w:val="16"/>
                <w:szCs w:val="16"/>
                <w:lang w:eastAsia="pt-BR"/>
              </w:rPr>
              <w:t xml:space="preserve"> 2014, totalizando 1,74%</w:t>
            </w:r>
          </w:p>
        </w:tc>
        <w:tc>
          <w:tcPr>
            <w:tcW w:w="1329"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p>
        </w:tc>
        <w:tc>
          <w:tcPr>
            <w:tcW w:w="1693"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sz w:val="16"/>
                <w:szCs w:val="16"/>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c>
          <w:tcPr>
            <w:tcW w:w="960" w:type="dxa"/>
            <w:tcBorders>
              <w:top w:val="nil"/>
              <w:left w:val="nil"/>
              <w:bottom w:val="nil"/>
              <w:right w:val="nil"/>
            </w:tcBorders>
            <w:shd w:val="clear" w:color="auto" w:fill="auto"/>
            <w:noWrap/>
            <w:vAlign w:val="bottom"/>
            <w:hideMark/>
          </w:tcPr>
          <w:p w:rsidR="00572D4A" w:rsidRPr="00572D4A" w:rsidRDefault="00572D4A" w:rsidP="00572D4A">
            <w:pPr>
              <w:spacing w:after="0" w:line="240" w:lineRule="auto"/>
              <w:rPr>
                <w:rFonts w:ascii="Arial" w:eastAsia="Times New Roman" w:hAnsi="Arial" w:cs="Arial"/>
                <w:color w:val="000000"/>
                <w:lang w:eastAsia="pt-BR"/>
              </w:rPr>
            </w:pPr>
          </w:p>
        </w:tc>
      </w:tr>
    </w:tbl>
    <w:p w:rsidR="00572D4A" w:rsidRDefault="00572D4A" w:rsidP="00680CB0">
      <w:pPr>
        <w:spacing w:line="360" w:lineRule="auto"/>
        <w:ind w:left="709" w:hanging="709"/>
        <w:jc w:val="both"/>
      </w:pPr>
    </w:p>
    <w:p w:rsidR="00BA04AD" w:rsidRDefault="00BA04AD" w:rsidP="00680CB0">
      <w:pPr>
        <w:spacing w:line="360" w:lineRule="auto"/>
        <w:ind w:left="709" w:hanging="709"/>
        <w:jc w:val="both"/>
      </w:pPr>
    </w:p>
    <w:sectPr w:rsidR="00BA04AD" w:rsidSect="00452EFC">
      <w:headerReference w:type="default" r:id="rId11"/>
      <w:headerReference w:type="first" r:id="rId12"/>
      <w:pgSz w:w="11906" w:h="16838"/>
      <w:pgMar w:top="2242" w:right="1701" w:bottom="1417" w:left="1134" w:header="708" w:footer="24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309" w:rsidRDefault="00A67309" w:rsidP="009146B9">
      <w:pPr>
        <w:spacing w:after="0" w:line="240" w:lineRule="auto"/>
      </w:pPr>
      <w:r>
        <w:separator/>
      </w:r>
    </w:p>
  </w:endnote>
  <w:endnote w:type="continuationSeparator" w:id="0">
    <w:p w:rsidR="00A67309" w:rsidRDefault="00A67309" w:rsidP="009146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309" w:rsidRDefault="00A67309" w:rsidP="009146B9">
      <w:pPr>
        <w:spacing w:after="0" w:line="240" w:lineRule="auto"/>
      </w:pPr>
      <w:r>
        <w:separator/>
      </w:r>
    </w:p>
  </w:footnote>
  <w:footnote w:type="continuationSeparator" w:id="0">
    <w:p w:rsidR="00A67309" w:rsidRDefault="00A67309" w:rsidP="009146B9">
      <w:pPr>
        <w:spacing w:after="0" w:line="240" w:lineRule="auto"/>
      </w:pPr>
      <w:r>
        <w:continuationSeparator/>
      </w:r>
    </w:p>
  </w:footnote>
  <w:footnote w:id="1">
    <w:p w:rsidR="00782F3B" w:rsidRDefault="00782F3B" w:rsidP="003B5F38">
      <w:pPr>
        <w:pStyle w:val="Textodenotaderodap"/>
      </w:pPr>
      <w:r>
        <w:rPr>
          <w:rStyle w:val="Refdenotaderodap"/>
        </w:rPr>
        <w:footnoteRef/>
      </w:r>
      <w:r>
        <w:t xml:space="preserve"> O diagrama não contempla os processos extraordinários de Revisão, que poderão ocorrer contingencialmente durante o ciclo tarifário ora iniciado.</w:t>
      </w:r>
    </w:p>
  </w:footnote>
  <w:footnote w:id="2">
    <w:p w:rsidR="00782F3B" w:rsidRDefault="00782F3B">
      <w:pPr>
        <w:pStyle w:val="Textodenotaderodap"/>
      </w:pPr>
      <w:r>
        <w:rPr>
          <w:rStyle w:val="Refdenotaderodap"/>
        </w:rPr>
        <w:footnoteRef/>
      </w:r>
      <w:r>
        <w:t xml:space="preserve"> Nota Técnica ARSESP </w:t>
      </w:r>
      <w:r w:rsidRPr="00644412">
        <w:t>Nº RTS/001/2014</w:t>
      </w:r>
      <w:r>
        <w:t xml:space="preserve">, disponível em: </w:t>
      </w:r>
      <w:r w:rsidRPr="00644412">
        <w:t>http://www.arsesp.sp.gov.br/ConsultasPublicasBiblioteca/Nota_tecnica_cp0012014.pdf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F3B" w:rsidRDefault="00782F3B">
    <w:pPr>
      <w:pStyle w:val="Cabealho"/>
    </w:pPr>
    <w:sdt>
      <w:sdtPr>
        <w:id w:val="-1806312709"/>
        <w:docPartObj>
          <w:docPartGallery w:val="Page Numbers (Margins)"/>
          <w:docPartUnique/>
        </w:docPartObj>
      </w:sdtPr>
      <w:sdtContent>
        <w:r>
          <w:rPr>
            <w:noProof/>
            <w:lang w:eastAsia="pt-BR"/>
          </w:rPr>
          <w:pict>
            <v:group id="Grupo 23" o:spid="_x0000_s4099"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" o:allowincell="f">
              <v:shapetype id="_x0000_t202" coordsize="21600,21600" o:spt="202" path="m,l,21600r21600,l21600,xe">
                <v:stroke joinstyle="miter"/>
                <v:path gradientshapeok="t" o:connecttype="rect"/>
              </v:shapetype>
              <v:shape id="Text Box 71" o:spid="_x0000_s4103" type="#_x0000_t202" style="position:absolute;left:689;top:3263;width:769;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xZ8MA&#10;AADbAAAADwAAAGRycy9kb3ducmV2LnhtbESPQWvCQBSE7wX/w/IEL8VslFJKzCoxou2lh6T+gEf2&#10;mQSzb0N21eivdwuFHoeZ+YZJN6PpxJUG11pWsIhiEMSV1S3XCo4/+/kHCOeRNXaWScGdHGzWk5cU&#10;E21vXNC19LUIEHYJKmi87xMpXdWQQRfZnjh4JzsY9EEOtdQD3gLcdHIZx+/SYMthocGe8oaqc3kx&#10;Cigr7OP77A6m2O7yw6llepWfSs2mY7YC4Wn0/+G/9pdWsHyD3y/h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ExZ8MAAADbAAAADwAAAAAAAAAAAAAAAACYAgAAZHJzL2Rv&#10;d25yZXYueG1sUEsFBgAAAAAEAAQA9QAAAIgDAAAAAA==&#10;" filled="f" stroked="f">
                <v:textbox inset="0,0,0,0">
                  <w:txbxContent>
                    <w:p w:rsidR="00782F3B" w:rsidRDefault="00782F3B">
                      <w:pPr>
                        <w:pStyle w:val="Cabealho"/>
                        <w:jc w:val="center"/>
                      </w:pPr>
                      <w:r w:rsidRPr="00E46B37">
                        <w:fldChar w:fldCharType="begin"/>
                      </w:r>
                      <w:r>
                        <w:instrText>PAGE    \* MERGEFORMAT</w:instrText>
                      </w:r>
                      <w:r w:rsidRPr="00E46B37">
                        <w:fldChar w:fldCharType="separate"/>
                      </w:r>
                      <w:r w:rsidR="00AF20F0" w:rsidRPr="00AF20F0">
                        <w:rPr>
                          <w:rStyle w:val="Nmerodepgina"/>
                          <w:b/>
                          <w:bCs/>
                          <w:noProof/>
                          <w:color w:val="3F3151" w:themeColor="accent4" w:themeShade="7F"/>
                          <w:sz w:val="16"/>
                          <w:szCs w:val="16"/>
                        </w:rPr>
                        <w:t>21</w:t>
                      </w:r>
                      <w:r>
                        <w:rPr>
                          <w:rStyle w:val="Nmerodepgina"/>
                          <w:b/>
                          <w:bCs/>
                          <w:color w:val="3F3151" w:themeColor="accent4" w:themeShade="7F"/>
                          <w:sz w:val="16"/>
                          <w:szCs w:val="16"/>
                        </w:rPr>
                        <w:fldChar w:fldCharType="end"/>
                      </w:r>
                    </w:p>
                  </w:txbxContent>
                </v:textbox>
              </v:shape>
              <v:group id="Group 72" o:spid="_x0000_s4100"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oval id="Oval 73" o:spid="_x0000_s4102" style="position:absolute;left:1453;top:14832;width:374;height: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XLMMA&#10;AADbAAAADwAAAGRycy9kb3ducmV2LnhtbESPwWrDMBBE74X+g9hCLyWR64MdXMshFAq+9BAnhxwX&#10;a2uZWCsjKYn791UhkOMwO2926u1iJ3ElH0bHCt7XGQji3umRBwXHw9dqAyJEZI2TY1LwSwG2zfNT&#10;jZV2N97TtYuDSBAOFSowMc6VlKE3ZDGs3UycvB/nLcYk/SC1x1uC20nmWVZIiyOnBoMzfRrqz93F&#10;pjdOwYVT21+wPObmbbP44duXSr2+LLsPEJGW+Di+p1utIC/gf0sCg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XLMMAAADbAAAADwAAAAAAAAAAAAAAAACYAgAAZHJzL2Rv&#10;d25yZXYueG1sUEsFBgAAAAAEAAQA9QAAAIgDAAAAAA==&#10;" filled="f" strokecolor="#84a2c6" strokeweight=".5pt"/>
                <v:oval id="Oval 74" o:spid="_x0000_s4101" style="position:absolute;left:1462;top:14835;width:101;height: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Na74A&#10;AADbAAAADwAAAGRycy9kb3ducmV2LnhtbESPQQ/BQBSE7xL/YfMkbmw5IGUJEuKqOLg93adtdN82&#10;3VX1761E4jiZmW8yi1VrStFQ7QrLCkbDCARxanXBmYLzaTeYgXAeWWNpmRS8ycFq2e0sMNb2xUdq&#10;Ep+JAGEXo4Lc+yqW0qU5GXRDWxEH725rgz7IOpO6xleAm1KOo2giDRYcFnKsaJtT+kieRkGxt6PL&#10;bpMc3bWZbOW6vG3s5aZUv9eu5yA8tf4f/rUPWsF4Ct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dIzWu+AAAA2wAAAA8AAAAAAAAAAAAAAAAAmAIAAGRycy9kb3ducmV2&#10;LnhtbFBLBQYAAAAABAAEAPUAAACDAwAAAAA=&#10;" fillcolor="#84a2c6" stroked="f"/>
              </v:group>
              <w10:wrap anchorx="margin" anchory="page"/>
            </v:group>
          </w:pict>
        </w:r>
      </w:sdtContent>
    </w:sdt>
    <w:r w:rsidRPr="00897B67">
      <w:rPr>
        <w:noProof/>
        <w:lang w:eastAsia="pt-BR"/>
      </w:rPr>
      <w:drawing>
        <wp:inline distT="0" distB="0" distL="0" distR="0">
          <wp:extent cx="5400040" cy="710290"/>
          <wp:effectExtent l="19050" t="0" r="0" b="0"/>
          <wp:docPr id="2" name="Imagem 1" descr="cabeçalho_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çalho_novo"/>
                  <pic:cNvPicPr>
                    <a:picLocks noChangeAspect="1" noChangeArrowheads="1"/>
                  </pic:cNvPicPr>
                </pic:nvPicPr>
                <pic:blipFill>
                  <a:blip r:embed="rId1" cstate="print"/>
                  <a:srcRect/>
                  <a:stretch>
                    <a:fillRect/>
                  </a:stretch>
                </pic:blipFill>
                <pic:spPr bwMode="auto">
                  <a:xfrm>
                    <a:off x="0" y="0"/>
                    <a:ext cx="5400040" cy="71029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F3B" w:rsidRDefault="00782F3B" w:rsidP="00452EFC">
    <w:pPr>
      <w:pStyle w:val="Cabealho"/>
    </w:pPr>
    <w:r w:rsidRPr="00897B67">
      <w:rPr>
        <w:noProof/>
        <w:lang w:eastAsia="pt-BR"/>
      </w:rPr>
      <w:drawing>
        <wp:inline distT="0" distB="0" distL="0" distR="0">
          <wp:extent cx="5400040" cy="710290"/>
          <wp:effectExtent l="19050" t="0" r="0" b="0"/>
          <wp:docPr id="6" name="Imagem 1" descr="cabeçalho_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çalho_novo"/>
                  <pic:cNvPicPr>
                    <a:picLocks noChangeAspect="1" noChangeArrowheads="1"/>
                  </pic:cNvPicPr>
                </pic:nvPicPr>
                <pic:blipFill>
                  <a:blip r:embed="rId1" cstate="print"/>
                  <a:srcRect/>
                  <a:stretch>
                    <a:fillRect/>
                  </a:stretch>
                </pic:blipFill>
                <pic:spPr bwMode="auto">
                  <a:xfrm>
                    <a:off x="0" y="0"/>
                    <a:ext cx="5400040" cy="71029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744"/>
    <w:multiLevelType w:val="hybridMultilevel"/>
    <w:tmpl w:val="526C7E4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A45353F"/>
    <w:multiLevelType w:val="hybridMultilevel"/>
    <w:tmpl w:val="C3702A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89812F1"/>
    <w:multiLevelType w:val="hybridMultilevel"/>
    <w:tmpl w:val="D85868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D3F0273"/>
    <w:multiLevelType w:val="hybridMultilevel"/>
    <w:tmpl w:val="648228F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43F0E72"/>
    <w:multiLevelType w:val="hybridMultilevel"/>
    <w:tmpl w:val="3D2A045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3D175FC1"/>
    <w:multiLevelType w:val="hybridMultilevel"/>
    <w:tmpl w:val="526C7E4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85E07A3"/>
    <w:multiLevelType w:val="hybridMultilevel"/>
    <w:tmpl w:val="6720C8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8847C29"/>
    <w:multiLevelType w:val="hybridMultilevel"/>
    <w:tmpl w:val="1A06AFD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14844FC"/>
    <w:multiLevelType w:val="hybridMultilevel"/>
    <w:tmpl w:val="500E97C0"/>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nsid w:val="63741200"/>
    <w:multiLevelType w:val="hybridMultilevel"/>
    <w:tmpl w:val="557E22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3BE35B3"/>
    <w:multiLevelType w:val="hybridMultilevel"/>
    <w:tmpl w:val="C28C05E2"/>
    <w:lvl w:ilvl="0" w:tplc="868ADCA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3F46415"/>
    <w:multiLevelType w:val="hybridMultilevel"/>
    <w:tmpl w:val="97F2C548"/>
    <w:lvl w:ilvl="0" w:tplc="8C18F41E">
      <w:start w:val="2"/>
      <w:numFmt w:val="lowerLetter"/>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4130092"/>
    <w:multiLevelType w:val="hybridMultilevel"/>
    <w:tmpl w:val="526C7E4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57C033B"/>
    <w:multiLevelType w:val="hybridMultilevel"/>
    <w:tmpl w:val="477024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07D2E9E"/>
    <w:multiLevelType w:val="hybridMultilevel"/>
    <w:tmpl w:val="F64A32B2"/>
    <w:lvl w:ilvl="0" w:tplc="63AAE6A6">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0A0095E"/>
    <w:multiLevelType w:val="hybridMultilevel"/>
    <w:tmpl w:val="391E8B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3A007C1"/>
    <w:multiLevelType w:val="hybridMultilevel"/>
    <w:tmpl w:val="4A8C59D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3BC348A"/>
    <w:multiLevelType w:val="hybridMultilevel"/>
    <w:tmpl w:val="AF1693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9626AE4"/>
    <w:multiLevelType w:val="hybridMultilevel"/>
    <w:tmpl w:val="099E3BA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BEF57A5"/>
    <w:multiLevelType w:val="hybridMultilevel"/>
    <w:tmpl w:val="3FFC32D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14"/>
  </w:num>
  <w:num w:numId="5">
    <w:abstractNumId w:val="12"/>
  </w:num>
  <w:num w:numId="6">
    <w:abstractNumId w:val="0"/>
  </w:num>
  <w:num w:numId="7">
    <w:abstractNumId w:val="15"/>
  </w:num>
  <w:num w:numId="8">
    <w:abstractNumId w:val="9"/>
  </w:num>
  <w:num w:numId="9">
    <w:abstractNumId w:val="6"/>
  </w:num>
  <w:num w:numId="10">
    <w:abstractNumId w:val="7"/>
  </w:num>
  <w:num w:numId="11">
    <w:abstractNumId w:val="3"/>
  </w:num>
  <w:num w:numId="12">
    <w:abstractNumId w:val="16"/>
  </w:num>
  <w:num w:numId="13">
    <w:abstractNumId w:val="18"/>
  </w:num>
  <w:num w:numId="14">
    <w:abstractNumId w:val="17"/>
  </w:num>
  <w:num w:numId="15">
    <w:abstractNumId w:val="19"/>
  </w:num>
  <w:num w:numId="16">
    <w:abstractNumId w:val="4"/>
  </w:num>
  <w:num w:numId="17">
    <w:abstractNumId w:val="2"/>
  </w:num>
  <w:num w:numId="18">
    <w:abstractNumId w:val="13"/>
  </w:num>
  <w:num w:numId="19">
    <w:abstractNumId w:val="8"/>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9146B9"/>
    <w:rsid w:val="00013CCF"/>
    <w:rsid w:val="00015E95"/>
    <w:rsid w:val="00020B44"/>
    <w:rsid w:val="00041DF5"/>
    <w:rsid w:val="00044D77"/>
    <w:rsid w:val="00054497"/>
    <w:rsid w:val="00060118"/>
    <w:rsid w:val="00094966"/>
    <w:rsid w:val="000D5A44"/>
    <w:rsid w:val="000E47D0"/>
    <w:rsid w:val="000F10BA"/>
    <w:rsid w:val="00100C72"/>
    <w:rsid w:val="001113D5"/>
    <w:rsid w:val="00120CAF"/>
    <w:rsid w:val="00133096"/>
    <w:rsid w:val="00144822"/>
    <w:rsid w:val="00151274"/>
    <w:rsid w:val="00153F1A"/>
    <w:rsid w:val="0016321E"/>
    <w:rsid w:val="001851C9"/>
    <w:rsid w:val="001A2A27"/>
    <w:rsid w:val="001A543A"/>
    <w:rsid w:val="001C0305"/>
    <w:rsid w:val="001D7D78"/>
    <w:rsid w:val="0022356F"/>
    <w:rsid w:val="00223BE3"/>
    <w:rsid w:val="00226D20"/>
    <w:rsid w:val="00231494"/>
    <w:rsid w:val="002515D4"/>
    <w:rsid w:val="002713BC"/>
    <w:rsid w:val="00273856"/>
    <w:rsid w:val="00287D24"/>
    <w:rsid w:val="002A6B70"/>
    <w:rsid w:val="002B0F90"/>
    <w:rsid w:val="002B1810"/>
    <w:rsid w:val="002B7E47"/>
    <w:rsid w:val="002D6946"/>
    <w:rsid w:val="002E651A"/>
    <w:rsid w:val="002F2E2E"/>
    <w:rsid w:val="00302DB5"/>
    <w:rsid w:val="00346545"/>
    <w:rsid w:val="00355F44"/>
    <w:rsid w:val="0036278E"/>
    <w:rsid w:val="00376F31"/>
    <w:rsid w:val="00387F9A"/>
    <w:rsid w:val="0039000B"/>
    <w:rsid w:val="003924E1"/>
    <w:rsid w:val="00392812"/>
    <w:rsid w:val="003B5F38"/>
    <w:rsid w:val="003C4D69"/>
    <w:rsid w:val="003D42E8"/>
    <w:rsid w:val="004057D5"/>
    <w:rsid w:val="004203E1"/>
    <w:rsid w:val="0042698A"/>
    <w:rsid w:val="004317AC"/>
    <w:rsid w:val="00436432"/>
    <w:rsid w:val="00441BC2"/>
    <w:rsid w:val="00447D99"/>
    <w:rsid w:val="00452EFC"/>
    <w:rsid w:val="004572D1"/>
    <w:rsid w:val="00463F36"/>
    <w:rsid w:val="00496364"/>
    <w:rsid w:val="004A290D"/>
    <w:rsid w:val="004A6339"/>
    <w:rsid w:val="004C13AE"/>
    <w:rsid w:val="004C2036"/>
    <w:rsid w:val="004D4A18"/>
    <w:rsid w:val="004E7D14"/>
    <w:rsid w:val="004F2E7C"/>
    <w:rsid w:val="004F445A"/>
    <w:rsid w:val="00501113"/>
    <w:rsid w:val="0050495B"/>
    <w:rsid w:val="00522EAE"/>
    <w:rsid w:val="0053225C"/>
    <w:rsid w:val="00532A60"/>
    <w:rsid w:val="00552E9F"/>
    <w:rsid w:val="00553410"/>
    <w:rsid w:val="00554DE9"/>
    <w:rsid w:val="00557976"/>
    <w:rsid w:val="00566404"/>
    <w:rsid w:val="00572D4A"/>
    <w:rsid w:val="005A01E8"/>
    <w:rsid w:val="005A705A"/>
    <w:rsid w:val="005B4CAA"/>
    <w:rsid w:val="005B5B9C"/>
    <w:rsid w:val="005B6C1A"/>
    <w:rsid w:val="005C4CC3"/>
    <w:rsid w:val="005D69D9"/>
    <w:rsid w:val="0060485E"/>
    <w:rsid w:val="00625BD5"/>
    <w:rsid w:val="00634A8F"/>
    <w:rsid w:val="00644412"/>
    <w:rsid w:val="00655309"/>
    <w:rsid w:val="00680CB0"/>
    <w:rsid w:val="00682FE9"/>
    <w:rsid w:val="00685415"/>
    <w:rsid w:val="00690673"/>
    <w:rsid w:val="00693769"/>
    <w:rsid w:val="00697F81"/>
    <w:rsid w:val="006B486F"/>
    <w:rsid w:val="006D52ED"/>
    <w:rsid w:val="006E777C"/>
    <w:rsid w:val="00711A37"/>
    <w:rsid w:val="0073075E"/>
    <w:rsid w:val="00733A30"/>
    <w:rsid w:val="00753FC8"/>
    <w:rsid w:val="00782F3B"/>
    <w:rsid w:val="00793987"/>
    <w:rsid w:val="007A1D42"/>
    <w:rsid w:val="007A2FF8"/>
    <w:rsid w:val="007B3CAC"/>
    <w:rsid w:val="007B7601"/>
    <w:rsid w:val="007C59D7"/>
    <w:rsid w:val="007D40F7"/>
    <w:rsid w:val="007D7E84"/>
    <w:rsid w:val="0081022E"/>
    <w:rsid w:val="00813C75"/>
    <w:rsid w:val="00823FC7"/>
    <w:rsid w:val="00831313"/>
    <w:rsid w:val="008314A0"/>
    <w:rsid w:val="00851C67"/>
    <w:rsid w:val="00877CBC"/>
    <w:rsid w:val="0089223E"/>
    <w:rsid w:val="008973ED"/>
    <w:rsid w:val="00897B67"/>
    <w:rsid w:val="008B7EFC"/>
    <w:rsid w:val="008D1097"/>
    <w:rsid w:val="008D7A35"/>
    <w:rsid w:val="008E2A68"/>
    <w:rsid w:val="009146B9"/>
    <w:rsid w:val="00914966"/>
    <w:rsid w:val="00916410"/>
    <w:rsid w:val="00923B1F"/>
    <w:rsid w:val="00924E85"/>
    <w:rsid w:val="00932CD7"/>
    <w:rsid w:val="009A0409"/>
    <w:rsid w:val="009C7391"/>
    <w:rsid w:val="00A2518D"/>
    <w:rsid w:val="00A52647"/>
    <w:rsid w:val="00A543E5"/>
    <w:rsid w:val="00A67309"/>
    <w:rsid w:val="00A83BD8"/>
    <w:rsid w:val="00A8622B"/>
    <w:rsid w:val="00A8632F"/>
    <w:rsid w:val="00A87C3E"/>
    <w:rsid w:val="00A936E6"/>
    <w:rsid w:val="00AA0717"/>
    <w:rsid w:val="00AA4A2D"/>
    <w:rsid w:val="00AB5D25"/>
    <w:rsid w:val="00AB775F"/>
    <w:rsid w:val="00AE7CE0"/>
    <w:rsid w:val="00AF20F0"/>
    <w:rsid w:val="00AF4E72"/>
    <w:rsid w:val="00B04730"/>
    <w:rsid w:val="00B05703"/>
    <w:rsid w:val="00B057BA"/>
    <w:rsid w:val="00B10AD6"/>
    <w:rsid w:val="00B13DE1"/>
    <w:rsid w:val="00B15962"/>
    <w:rsid w:val="00B178D3"/>
    <w:rsid w:val="00B17E2E"/>
    <w:rsid w:val="00B20A37"/>
    <w:rsid w:val="00B46B5D"/>
    <w:rsid w:val="00B709FC"/>
    <w:rsid w:val="00B74F2E"/>
    <w:rsid w:val="00B87644"/>
    <w:rsid w:val="00BA04AD"/>
    <w:rsid w:val="00BA3651"/>
    <w:rsid w:val="00BC0BD6"/>
    <w:rsid w:val="00BC2DBD"/>
    <w:rsid w:val="00BE0A68"/>
    <w:rsid w:val="00C0005B"/>
    <w:rsid w:val="00C04D06"/>
    <w:rsid w:val="00C07962"/>
    <w:rsid w:val="00C168CD"/>
    <w:rsid w:val="00C17114"/>
    <w:rsid w:val="00C3741D"/>
    <w:rsid w:val="00C556F2"/>
    <w:rsid w:val="00C606B4"/>
    <w:rsid w:val="00C63E5B"/>
    <w:rsid w:val="00C65A58"/>
    <w:rsid w:val="00C75C5F"/>
    <w:rsid w:val="00C825B5"/>
    <w:rsid w:val="00C828FA"/>
    <w:rsid w:val="00C829D1"/>
    <w:rsid w:val="00CB5346"/>
    <w:rsid w:val="00CC6248"/>
    <w:rsid w:val="00CD4AB2"/>
    <w:rsid w:val="00D0320C"/>
    <w:rsid w:val="00D23156"/>
    <w:rsid w:val="00D36CA5"/>
    <w:rsid w:val="00D64DA5"/>
    <w:rsid w:val="00D66087"/>
    <w:rsid w:val="00D67430"/>
    <w:rsid w:val="00D70CE2"/>
    <w:rsid w:val="00D92B5B"/>
    <w:rsid w:val="00D97DEB"/>
    <w:rsid w:val="00DC09BF"/>
    <w:rsid w:val="00DC1D40"/>
    <w:rsid w:val="00DF1863"/>
    <w:rsid w:val="00DF3B9F"/>
    <w:rsid w:val="00DF6B08"/>
    <w:rsid w:val="00E053AC"/>
    <w:rsid w:val="00E20E01"/>
    <w:rsid w:val="00E2426E"/>
    <w:rsid w:val="00E3184F"/>
    <w:rsid w:val="00E32965"/>
    <w:rsid w:val="00E34783"/>
    <w:rsid w:val="00E46B37"/>
    <w:rsid w:val="00E47EF0"/>
    <w:rsid w:val="00E627DA"/>
    <w:rsid w:val="00E62821"/>
    <w:rsid w:val="00E63E5F"/>
    <w:rsid w:val="00E74CC3"/>
    <w:rsid w:val="00E84B3C"/>
    <w:rsid w:val="00E97C86"/>
    <w:rsid w:val="00EA3358"/>
    <w:rsid w:val="00ED10F4"/>
    <w:rsid w:val="00ED670B"/>
    <w:rsid w:val="00ED6A8C"/>
    <w:rsid w:val="00EE639A"/>
    <w:rsid w:val="00F264E6"/>
    <w:rsid w:val="00F41B58"/>
    <w:rsid w:val="00F44DE5"/>
    <w:rsid w:val="00F63E03"/>
    <w:rsid w:val="00F6498B"/>
    <w:rsid w:val="00F663DC"/>
    <w:rsid w:val="00F66B16"/>
    <w:rsid w:val="00F71767"/>
    <w:rsid w:val="00FB7810"/>
    <w:rsid w:val="00FC79BE"/>
    <w:rsid w:val="00FE286C"/>
    <w:rsid w:val="00FE78AF"/>
    <w:rsid w:val="00FF5BC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39A"/>
    <w:rPr>
      <w:rFonts w:ascii="Calibri" w:eastAsia="Calibri" w:hAnsi="Calibri" w:cs="Times New Roman"/>
    </w:rPr>
  </w:style>
  <w:style w:type="paragraph" w:styleId="Ttulo1">
    <w:name w:val="heading 1"/>
    <w:basedOn w:val="Normal"/>
    <w:next w:val="Normal"/>
    <w:link w:val="Ttulo1Char"/>
    <w:uiPriority w:val="9"/>
    <w:qFormat/>
    <w:rsid w:val="00D97D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D97DEB"/>
    <w:pPr>
      <w:spacing w:before="200" w:after="0" w:line="271" w:lineRule="auto"/>
      <w:outlineLvl w:val="1"/>
    </w:pPr>
    <w:rPr>
      <w:rFonts w:asciiTheme="majorHAnsi" w:eastAsiaTheme="majorEastAsia" w:hAnsiTheme="majorHAnsi" w:cstheme="majorBidi"/>
      <w:smallCaps/>
      <w:sz w:val="28"/>
      <w:szCs w:val="28"/>
      <w:lang w:eastAsia="pt-BR"/>
    </w:rPr>
  </w:style>
  <w:style w:type="paragraph" w:styleId="Ttulo3">
    <w:name w:val="heading 3"/>
    <w:basedOn w:val="Normal"/>
    <w:next w:val="Normal"/>
    <w:link w:val="Ttulo3Char"/>
    <w:uiPriority w:val="9"/>
    <w:semiHidden/>
    <w:unhideWhenUsed/>
    <w:qFormat/>
    <w:rsid w:val="003B5F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146B9"/>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9146B9"/>
  </w:style>
  <w:style w:type="paragraph" w:styleId="Rodap">
    <w:name w:val="footer"/>
    <w:basedOn w:val="Normal"/>
    <w:link w:val="RodapChar"/>
    <w:uiPriority w:val="99"/>
    <w:unhideWhenUsed/>
    <w:rsid w:val="009146B9"/>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9146B9"/>
  </w:style>
  <w:style w:type="paragraph" w:styleId="Textodebalo">
    <w:name w:val="Balloon Text"/>
    <w:basedOn w:val="Normal"/>
    <w:link w:val="TextodebaloChar"/>
    <w:uiPriority w:val="99"/>
    <w:semiHidden/>
    <w:unhideWhenUsed/>
    <w:rsid w:val="009146B9"/>
    <w:pPr>
      <w:spacing w:after="0" w:line="240" w:lineRule="auto"/>
    </w:pPr>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9146B9"/>
    <w:rPr>
      <w:rFonts w:ascii="Tahoma" w:hAnsi="Tahoma" w:cs="Tahoma"/>
      <w:sz w:val="16"/>
      <w:szCs w:val="16"/>
    </w:rPr>
  </w:style>
  <w:style w:type="character" w:customStyle="1" w:styleId="Ttulo1Char">
    <w:name w:val="Título 1 Char"/>
    <w:basedOn w:val="Fontepargpadro"/>
    <w:link w:val="Ttulo1"/>
    <w:uiPriority w:val="9"/>
    <w:rsid w:val="00D97DEB"/>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D97DEB"/>
    <w:rPr>
      <w:rFonts w:asciiTheme="majorHAnsi" w:eastAsiaTheme="majorEastAsia" w:hAnsiTheme="majorHAnsi" w:cstheme="majorBidi"/>
      <w:smallCaps/>
      <w:sz w:val="28"/>
      <w:szCs w:val="28"/>
      <w:lang w:eastAsia="pt-BR"/>
    </w:rPr>
  </w:style>
  <w:style w:type="paragraph" w:styleId="PargrafodaLista">
    <w:name w:val="List Paragraph"/>
    <w:basedOn w:val="Normal"/>
    <w:uiPriority w:val="34"/>
    <w:qFormat/>
    <w:rsid w:val="00D97DEB"/>
    <w:pPr>
      <w:ind w:left="720"/>
      <w:contextualSpacing/>
    </w:pPr>
    <w:rPr>
      <w:rFonts w:asciiTheme="minorHAnsi" w:eastAsiaTheme="minorHAnsi" w:hAnsiTheme="minorHAnsi" w:cstheme="minorBidi"/>
    </w:rPr>
  </w:style>
  <w:style w:type="table" w:styleId="ListaClara-nfase6">
    <w:name w:val="Light List Accent 6"/>
    <w:basedOn w:val="Tabelanormal"/>
    <w:uiPriority w:val="61"/>
    <w:rsid w:val="00D97DE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CabealhodoSumrio">
    <w:name w:val="TOC Heading"/>
    <w:basedOn w:val="Ttulo1"/>
    <w:next w:val="Normal"/>
    <w:uiPriority w:val="39"/>
    <w:unhideWhenUsed/>
    <w:qFormat/>
    <w:rsid w:val="008B7EFC"/>
    <w:pPr>
      <w:spacing w:before="240" w:line="259" w:lineRule="auto"/>
      <w:outlineLvl w:val="9"/>
    </w:pPr>
    <w:rPr>
      <w:b w:val="0"/>
      <w:bCs w:val="0"/>
      <w:sz w:val="32"/>
      <w:szCs w:val="32"/>
      <w:lang w:eastAsia="pt-BR"/>
    </w:rPr>
  </w:style>
  <w:style w:type="paragraph" w:styleId="Sumrio1">
    <w:name w:val="toc 1"/>
    <w:basedOn w:val="Normal"/>
    <w:next w:val="Normal"/>
    <w:autoRedefine/>
    <w:uiPriority w:val="39"/>
    <w:unhideWhenUsed/>
    <w:rsid w:val="008B7EFC"/>
    <w:pPr>
      <w:spacing w:after="100"/>
    </w:pPr>
  </w:style>
  <w:style w:type="paragraph" w:styleId="Sumrio2">
    <w:name w:val="toc 2"/>
    <w:basedOn w:val="Normal"/>
    <w:next w:val="Normal"/>
    <w:autoRedefine/>
    <w:uiPriority w:val="39"/>
    <w:unhideWhenUsed/>
    <w:rsid w:val="008B7EFC"/>
    <w:pPr>
      <w:spacing w:after="100"/>
      <w:ind w:left="220"/>
    </w:pPr>
  </w:style>
  <w:style w:type="character" w:styleId="Hyperlink">
    <w:name w:val="Hyperlink"/>
    <w:basedOn w:val="Fontepargpadro"/>
    <w:uiPriority w:val="99"/>
    <w:unhideWhenUsed/>
    <w:rsid w:val="008B7EFC"/>
    <w:rPr>
      <w:color w:val="0000FF" w:themeColor="hyperlink"/>
      <w:u w:val="single"/>
    </w:rPr>
  </w:style>
  <w:style w:type="character" w:styleId="Nmerodepgina">
    <w:name w:val="page number"/>
    <w:basedOn w:val="Fontepargpadro"/>
    <w:uiPriority w:val="99"/>
    <w:unhideWhenUsed/>
    <w:rsid w:val="001C0305"/>
  </w:style>
  <w:style w:type="character" w:customStyle="1" w:styleId="Ttulo3Char">
    <w:name w:val="Título 3 Char"/>
    <w:basedOn w:val="Fontepargpadro"/>
    <w:link w:val="Ttulo3"/>
    <w:uiPriority w:val="9"/>
    <w:semiHidden/>
    <w:rsid w:val="003B5F38"/>
    <w:rPr>
      <w:rFonts w:asciiTheme="majorHAnsi" w:eastAsiaTheme="majorEastAsia" w:hAnsiTheme="majorHAnsi" w:cstheme="majorBidi"/>
      <w:color w:val="243F60" w:themeColor="accent1" w:themeShade="7F"/>
      <w:sz w:val="24"/>
      <w:szCs w:val="24"/>
    </w:rPr>
  </w:style>
  <w:style w:type="table" w:customStyle="1" w:styleId="TabelaSimples41">
    <w:name w:val="Tabela Simples 41"/>
    <w:basedOn w:val="Tabelanormal"/>
    <w:uiPriority w:val="44"/>
    <w:rsid w:val="003B5F3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notaderodap">
    <w:name w:val="footnote text"/>
    <w:basedOn w:val="Normal"/>
    <w:link w:val="TextodenotaderodapChar"/>
    <w:uiPriority w:val="99"/>
    <w:semiHidden/>
    <w:unhideWhenUsed/>
    <w:rsid w:val="003B5F38"/>
    <w:pPr>
      <w:spacing w:after="0" w:line="240" w:lineRule="auto"/>
    </w:pPr>
    <w:rPr>
      <w:rFonts w:asciiTheme="minorHAnsi" w:eastAsiaTheme="minorHAnsi" w:hAnsiTheme="minorHAnsi" w:cstheme="minorBidi"/>
      <w:sz w:val="20"/>
      <w:szCs w:val="20"/>
    </w:rPr>
  </w:style>
  <w:style w:type="character" w:customStyle="1" w:styleId="TextodenotaderodapChar">
    <w:name w:val="Texto de nota de rodapé Char"/>
    <w:basedOn w:val="Fontepargpadro"/>
    <w:link w:val="Textodenotaderodap"/>
    <w:uiPriority w:val="99"/>
    <w:semiHidden/>
    <w:rsid w:val="003B5F38"/>
    <w:rPr>
      <w:sz w:val="20"/>
      <w:szCs w:val="20"/>
    </w:rPr>
  </w:style>
  <w:style w:type="character" w:styleId="Refdenotaderodap">
    <w:name w:val="footnote reference"/>
    <w:basedOn w:val="Fontepargpadro"/>
    <w:uiPriority w:val="99"/>
    <w:semiHidden/>
    <w:unhideWhenUsed/>
    <w:rsid w:val="003B5F38"/>
    <w:rPr>
      <w:vertAlign w:val="superscript"/>
    </w:rPr>
  </w:style>
  <w:style w:type="paragraph" w:styleId="Sumrio3">
    <w:name w:val="toc 3"/>
    <w:basedOn w:val="Normal"/>
    <w:next w:val="Normal"/>
    <w:autoRedefine/>
    <w:uiPriority w:val="39"/>
    <w:unhideWhenUsed/>
    <w:rsid w:val="002713BC"/>
    <w:pPr>
      <w:spacing w:after="100"/>
      <w:ind w:left="440"/>
    </w:pPr>
  </w:style>
  <w:style w:type="character" w:styleId="TextodoEspaoReservado">
    <w:name w:val="Placeholder Text"/>
    <w:basedOn w:val="Fontepargpadro"/>
    <w:uiPriority w:val="99"/>
    <w:semiHidden/>
    <w:rsid w:val="00DF3B9F"/>
    <w:rPr>
      <w:color w:val="808080"/>
    </w:rPr>
  </w:style>
  <w:style w:type="table" w:styleId="Tabelacomgrade">
    <w:name w:val="Table Grid"/>
    <w:basedOn w:val="Tabelanormal"/>
    <w:rsid w:val="00C04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deGrade5Escura-nfase11">
    <w:name w:val="Tabela de Grade 5 Escura - Ênfase 11"/>
    <w:basedOn w:val="Tabelanormal"/>
    <w:uiPriority w:val="50"/>
    <w:rsid w:val="008D10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rmalWeb">
    <w:name w:val="Normal (Web)"/>
    <w:basedOn w:val="Normal"/>
    <w:uiPriority w:val="99"/>
    <w:unhideWhenUsed/>
    <w:rsid w:val="00897B67"/>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897B67"/>
    <w:rPr>
      <w:b/>
      <w:bCs/>
    </w:rPr>
  </w:style>
  <w:style w:type="table" w:customStyle="1" w:styleId="GridTable1LightAccent1">
    <w:name w:val="Grid Table 1 Light Accent 1"/>
    <w:basedOn w:val="Tabelanormal"/>
    <w:uiPriority w:val="46"/>
    <w:rsid w:val="00D66087"/>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39A"/>
    <w:rPr>
      <w:rFonts w:ascii="Calibri" w:eastAsia="Calibri" w:hAnsi="Calibri" w:cs="Times New Roman"/>
    </w:rPr>
  </w:style>
  <w:style w:type="paragraph" w:styleId="Ttulo1">
    <w:name w:val="heading 1"/>
    <w:basedOn w:val="Normal"/>
    <w:next w:val="Normal"/>
    <w:link w:val="Ttulo1Char"/>
    <w:uiPriority w:val="9"/>
    <w:qFormat/>
    <w:rsid w:val="00D97D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D97DEB"/>
    <w:pPr>
      <w:spacing w:before="200" w:after="0" w:line="271" w:lineRule="auto"/>
      <w:outlineLvl w:val="1"/>
    </w:pPr>
    <w:rPr>
      <w:rFonts w:asciiTheme="majorHAnsi" w:eastAsiaTheme="majorEastAsia" w:hAnsiTheme="majorHAnsi" w:cstheme="majorBidi"/>
      <w:smallCaps/>
      <w:sz w:val="28"/>
      <w:szCs w:val="28"/>
      <w:lang w:eastAsia="pt-BR"/>
    </w:rPr>
  </w:style>
  <w:style w:type="paragraph" w:styleId="Ttulo3">
    <w:name w:val="heading 3"/>
    <w:basedOn w:val="Normal"/>
    <w:next w:val="Normal"/>
    <w:link w:val="Ttulo3Char"/>
    <w:uiPriority w:val="9"/>
    <w:semiHidden/>
    <w:unhideWhenUsed/>
    <w:qFormat/>
    <w:rsid w:val="003B5F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146B9"/>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9146B9"/>
  </w:style>
  <w:style w:type="paragraph" w:styleId="Rodap">
    <w:name w:val="footer"/>
    <w:basedOn w:val="Normal"/>
    <w:link w:val="RodapChar"/>
    <w:uiPriority w:val="99"/>
    <w:unhideWhenUsed/>
    <w:rsid w:val="009146B9"/>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9146B9"/>
  </w:style>
  <w:style w:type="paragraph" w:styleId="Textodebalo">
    <w:name w:val="Balloon Text"/>
    <w:basedOn w:val="Normal"/>
    <w:link w:val="TextodebaloChar"/>
    <w:uiPriority w:val="99"/>
    <w:semiHidden/>
    <w:unhideWhenUsed/>
    <w:rsid w:val="009146B9"/>
    <w:pPr>
      <w:spacing w:after="0" w:line="240" w:lineRule="auto"/>
    </w:pPr>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9146B9"/>
    <w:rPr>
      <w:rFonts w:ascii="Tahoma" w:hAnsi="Tahoma" w:cs="Tahoma"/>
      <w:sz w:val="16"/>
      <w:szCs w:val="16"/>
    </w:rPr>
  </w:style>
  <w:style w:type="character" w:customStyle="1" w:styleId="Ttulo1Char">
    <w:name w:val="Título 1 Char"/>
    <w:basedOn w:val="Fontepargpadro"/>
    <w:link w:val="Ttulo1"/>
    <w:uiPriority w:val="9"/>
    <w:rsid w:val="00D97DEB"/>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D97DEB"/>
    <w:rPr>
      <w:rFonts w:asciiTheme="majorHAnsi" w:eastAsiaTheme="majorEastAsia" w:hAnsiTheme="majorHAnsi" w:cstheme="majorBidi"/>
      <w:smallCaps/>
      <w:sz w:val="28"/>
      <w:szCs w:val="28"/>
      <w:lang w:eastAsia="pt-BR"/>
    </w:rPr>
  </w:style>
  <w:style w:type="paragraph" w:styleId="PargrafodaLista">
    <w:name w:val="List Paragraph"/>
    <w:basedOn w:val="Normal"/>
    <w:uiPriority w:val="34"/>
    <w:qFormat/>
    <w:rsid w:val="00D97DEB"/>
    <w:pPr>
      <w:ind w:left="720"/>
      <w:contextualSpacing/>
    </w:pPr>
    <w:rPr>
      <w:rFonts w:asciiTheme="minorHAnsi" w:eastAsiaTheme="minorHAnsi" w:hAnsiTheme="minorHAnsi" w:cstheme="minorBidi"/>
    </w:rPr>
  </w:style>
  <w:style w:type="table" w:styleId="ListaClara-nfase6">
    <w:name w:val="Light List Accent 6"/>
    <w:basedOn w:val="Tabelanormal"/>
    <w:uiPriority w:val="61"/>
    <w:rsid w:val="00D97DE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CabealhodoSumrio">
    <w:name w:val="TOC Heading"/>
    <w:basedOn w:val="Ttulo1"/>
    <w:next w:val="Normal"/>
    <w:uiPriority w:val="39"/>
    <w:unhideWhenUsed/>
    <w:qFormat/>
    <w:rsid w:val="008B7EFC"/>
    <w:pPr>
      <w:spacing w:before="240" w:line="259" w:lineRule="auto"/>
      <w:outlineLvl w:val="9"/>
    </w:pPr>
    <w:rPr>
      <w:b w:val="0"/>
      <w:bCs w:val="0"/>
      <w:sz w:val="32"/>
      <w:szCs w:val="32"/>
      <w:lang w:eastAsia="pt-BR"/>
    </w:rPr>
  </w:style>
  <w:style w:type="paragraph" w:styleId="Sumrio1">
    <w:name w:val="toc 1"/>
    <w:basedOn w:val="Normal"/>
    <w:next w:val="Normal"/>
    <w:autoRedefine/>
    <w:uiPriority w:val="39"/>
    <w:unhideWhenUsed/>
    <w:rsid w:val="008B7EFC"/>
    <w:pPr>
      <w:spacing w:after="100"/>
    </w:pPr>
  </w:style>
  <w:style w:type="paragraph" w:styleId="Sumrio2">
    <w:name w:val="toc 2"/>
    <w:basedOn w:val="Normal"/>
    <w:next w:val="Normal"/>
    <w:autoRedefine/>
    <w:uiPriority w:val="39"/>
    <w:unhideWhenUsed/>
    <w:rsid w:val="008B7EFC"/>
    <w:pPr>
      <w:spacing w:after="100"/>
      <w:ind w:left="220"/>
    </w:pPr>
  </w:style>
  <w:style w:type="character" w:styleId="Hyperlink">
    <w:name w:val="Hyperlink"/>
    <w:basedOn w:val="Fontepargpadro"/>
    <w:uiPriority w:val="99"/>
    <w:unhideWhenUsed/>
    <w:rsid w:val="008B7EFC"/>
    <w:rPr>
      <w:color w:val="0000FF" w:themeColor="hyperlink"/>
      <w:u w:val="single"/>
    </w:rPr>
  </w:style>
  <w:style w:type="character" w:styleId="Nmerodepgina">
    <w:name w:val="page number"/>
    <w:basedOn w:val="Fontepargpadro"/>
    <w:uiPriority w:val="99"/>
    <w:unhideWhenUsed/>
    <w:rsid w:val="001C0305"/>
  </w:style>
  <w:style w:type="character" w:customStyle="1" w:styleId="Ttulo3Char">
    <w:name w:val="Título 3 Char"/>
    <w:basedOn w:val="Fontepargpadro"/>
    <w:link w:val="Ttulo3"/>
    <w:uiPriority w:val="9"/>
    <w:semiHidden/>
    <w:rsid w:val="003B5F38"/>
    <w:rPr>
      <w:rFonts w:asciiTheme="majorHAnsi" w:eastAsiaTheme="majorEastAsia" w:hAnsiTheme="majorHAnsi" w:cstheme="majorBidi"/>
      <w:color w:val="243F60" w:themeColor="accent1" w:themeShade="7F"/>
      <w:sz w:val="24"/>
      <w:szCs w:val="24"/>
    </w:rPr>
  </w:style>
  <w:style w:type="table" w:customStyle="1" w:styleId="TabelaSimples41">
    <w:name w:val="Tabela Simples 41"/>
    <w:basedOn w:val="Tabelanormal"/>
    <w:uiPriority w:val="44"/>
    <w:rsid w:val="003B5F3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notaderodap">
    <w:name w:val="footnote text"/>
    <w:basedOn w:val="Normal"/>
    <w:link w:val="TextodenotaderodapChar"/>
    <w:uiPriority w:val="99"/>
    <w:semiHidden/>
    <w:unhideWhenUsed/>
    <w:rsid w:val="003B5F38"/>
    <w:pPr>
      <w:spacing w:after="0" w:line="240" w:lineRule="auto"/>
    </w:pPr>
    <w:rPr>
      <w:rFonts w:asciiTheme="minorHAnsi" w:eastAsiaTheme="minorHAnsi" w:hAnsiTheme="minorHAnsi" w:cstheme="minorBidi"/>
      <w:sz w:val="20"/>
      <w:szCs w:val="20"/>
    </w:rPr>
  </w:style>
  <w:style w:type="character" w:customStyle="1" w:styleId="TextodenotaderodapChar">
    <w:name w:val="Texto de nota de rodapé Char"/>
    <w:basedOn w:val="Fontepargpadro"/>
    <w:link w:val="Textodenotaderodap"/>
    <w:uiPriority w:val="99"/>
    <w:semiHidden/>
    <w:rsid w:val="003B5F38"/>
    <w:rPr>
      <w:sz w:val="20"/>
      <w:szCs w:val="20"/>
    </w:rPr>
  </w:style>
  <w:style w:type="character" w:styleId="Refdenotaderodap">
    <w:name w:val="footnote reference"/>
    <w:basedOn w:val="Fontepargpadro"/>
    <w:uiPriority w:val="99"/>
    <w:semiHidden/>
    <w:unhideWhenUsed/>
    <w:rsid w:val="003B5F38"/>
    <w:rPr>
      <w:vertAlign w:val="superscript"/>
    </w:rPr>
  </w:style>
  <w:style w:type="paragraph" w:styleId="Sumrio3">
    <w:name w:val="toc 3"/>
    <w:basedOn w:val="Normal"/>
    <w:next w:val="Normal"/>
    <w:autoRedefine/>
    <w:uiPriority w:val="39"/>
    <w:unhideWhenUsed/>
    <w:rsid w:val="002713BC"/>
    <w:pPr>
      <w:spacing w:after="100"/>
      <w:ind w:left="440"/>
    </w:pPr>
  </w:style>
  <w:style w:type="character" w:styleId="TextodoEspaoReservado">
    <w:name w:val="Placeholder Text"/>
    <w:basedOn w:val="Fontepargpadro"/>
    <w:uiPriority w:val="99"/>
    <w:semiHidden/>
    <w:rsid w:val="00DF3B9F"/>
    <w:rPr>
      <w:color w:val="808080"/>
    </w:rPr>
  </w:style>
  <w:style w:type="table" w:styleId="Tabelacomgrade">
    <w:name w:val="Table Grid"/>
    <w:basedOn w:val="Tabelanormal"/>
    <w:uiPriority w:val="59"/>
    <w:rsid w:val="00C04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5Escura-nfase11">
    <w:name w:val="Tabela de Grade 5 Escura - Ênfase 11"/>
    <w:basedOn w:val="Tabelanormal"/>
    <w:uiPriority w:val="50"/>
    <w:rsid w:val="008D10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r="http://schemas.openxmlformats.org/officeDocument/2006/relationships" xmlns:w="http://schemas.openxmlformats.org/wordprocessingml/2006/main">
  <w:divs>
    <w:div w:id="379283885">
      <w:bodyDiv w:val="1"/>
      <w:marLeft w:val="0"/>
      <w:marRight w:val="0"/>
      <w:marTop w:val="0"/>
      <w:marBottom w:val="0"/>
      <w:divBdr>
        <w:top w:val="none" w:sz="0" w:space="0" w:color="auto"/>
        <w:left w:val="none" w:sz="0" w:space="0" w:color="auto"/>
        <w:bottom w:val="none" w:sz="0" w:space="0" w:color="auto"/>
        <w:right w:val="none" w:sz="0" w:space="0" w:color="auto"/>
      </w:divBdr>
    </w:div>
    <w:div w:id="664406289">
      <w:bodyDiv w:val="1"/>
      <w:marLeft w:val="0"/>
      <w:marRight w:val="0"/>
      <w:marTop w:val="0"/>
      <w:marBottom w:val="0"/>
      <w:divBdr>
        <w:top w:val="none" w:sz="0" w:space="0" w:color="auto"/>
        <w:left w:val="none" w:sz="0" w:space="0" w:color="auto"/>
        <w:bottom w:val="none" w:sz="0" w:space="0" w:color="auto"/>
        <w:right w:val="none" w:sz="0" w:space="0" w:color="auto"/>
      </w:divBdr>
    </w:div>
    <w:div w:id="694618440">
      <w:bodyDiv w:val="1"/>
      <w:marLeft w:val="0"/>
      <w:marRight w:val="0"/>
      <w:marTop w:val="0"/>
      <w:marBottom w:val="0"/>
      <w:divBdr>
        <w:top w:val="none" w:sz="0" w:space="0" w:color="auto"/>
        <w:left w:val="none" w:sz="0" w:space="0" w:color="auto"/>
        <w:bottom w:val="none" w:sz="0" w:space="0" w:color="auto"/>
        <w:right w:val="none" w:sz="0" w:space="0" w:color="auto"/>
      </w:divBdr>
    </w:div>
    <w:div w:id="894390310">
      <w:bodyDiv w:val="1"/>
      <w:marLeft w:val="0"/>
      <w:marRight w:val="0"/>
      <w:marTop w:val="0"/>
      <w:marBottom w:val="0"/>
      <w:divBdr>
        <w:top w:val="none" w:sz="0" w:space="0" w:color="auto"/>
        <w:left w:val="none" w:sz="0" w:space="0" w:color="auto"/>
        <w:bottom w:val="none" w:sz="0" w:space="0" w:color="auto"/>
        <w:right w:val="none" w:sz="0" w:space="0" w:color="auto"/>
      </w:divBdr>
    </w:div>
    <w:div w:id="951862856">
      <w:bodyDiv w:val="1"/>
      <w:marLeft w:val="0"/>
      <w:marRight w:val="0"/>
      <w:marTop w:val="0"/>
      <w:marBottom w:val="0"/>
      <w:divBdr>
        <w:top w:val="none" w:sz="0" w:space="0" w:color="auto"/>
        <w:left w:val="none" w:sz="0" w:space="0" w:color="auto"/>
        <w:bottom w:val="none" w:sz="0" w:space="0" w:color="auto"/>
        <w:right w:val="none" w:sz="0" w:space="0" w:color="auto"/>
      </w:divBdr>
    </w:div>
    <w:div w:id="1259680688">
      <w:bodyDiv w:val="1"/>
      <w:marLeft w:val="0"/>
      <w:marRight w:val="0"/>
      <w:marTop w:val="0"/>
      <w:marBottom w:val="0"/>
      <w:divBdr>
        <w:top w:val="none" w:sz="0" w:space="0" w:color="auto"/>
        <w:left w:val="none" w:sz="0" w:space="0" w:color="auto"/>
        <w:bottom w:val="none" w:sz="0" w:space="0" w:color="auto"/>
        <w:right w:val="none" w:sz="0" w:space="0" w:color="auto"/>
      </w:divBdr>
    </w:div>
    <w:div w:id="166299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F9E9F-CF1D-418F-B34E-761C7026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30</Pages>
  <Words>7673</Words>
  <Characters>41438</Characters>
  <Application>Microsoft Office Word</Application>
  <DocSecurity>0</DocSecurity>
  <Lines>345</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lorenaugcs</dc:creator>
  <cp:lastModifiedBy>claudiops</cp:lastModifiedBy>
  <cp:revision>3</cp:revision>
  <cp:lastPrinted>2014-11-04T14:08:00Z</cp:lastPrinted>
  <dcterms:created xsi:type="dcterms:W3CDTF">2014-11-04T12:33:00Z</dcterms:created>
  <dcterms:modified xsi:type="dcterms:W3CDTF">2014-11-04T14:26:00Z</dcterms:modified>
</cp:coreProperties>
</file>