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922877">
        <w:rPr>
          <w:rFonts w:ascii="Arial" w:hAnsi="Arial" w:cs="Arial"/>
          <w:b/>
          <w:bCs/>
        </w:rPr>
        <w:t>8</w:t>
      </w:r>
      <w:r w:rsidR="00DE018C">
        <w:rPr>
          <w:rFonts w:ascii="Arial" w:hAnsi="Arial" w:cs="Arial"/>
          <w:b/>
          <w:bCs/>
        </w:rPr>
        <w:t>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DE018C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DE018C">
        <w:rPr>
          <w:rFonts w:ascii="Arial" w:hAnsi="Arial" w:cs="Arial"/>
          <w:color w:val="000000"/>
        </w:rPr>
        <w:t>19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964620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proofErr w:type="gramStart"/>
      <w:r w:rsidR="00DE018C">
        <w:rPr>
          <w:rFonts w:ascii="Arial" w:hAnsi="Arial" w:cs="Arial"/>
          <w:color w:val="000000"/>
        </w:rPr>
        <w:t>a</w:t>
      </w:r>
      <w:proofErr w:type="gramEnd"/>
      <w:r w:rsidR="00DE018C">
        <w:rPr>
          <w:rFonts w:ascii="Arial" w:hAnsi="Arial" w:cs="Arial"/>
          <w:color w:val="000000"/>
        </w:rPr>
        <w:t xml:space="preserve"> aquisição de medicamento para atendimento a demanda judicial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DE018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DE018C">
        <w:rPr>
          <w:rFonts w:ascii="Arial" w:eastAsia="Batang" w:hAnsi="Arial" w:cs="Arial"/>
          <w:color w:val="000000"/>
        </w:rPr>
        <w:t>9307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DE018C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DE018C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DE018C">
        <w:rPr>
          <w:rFonts w:ascii="Arial" w:hAnsi="Arial" w:cs="Arial"/>
          <w:color w:val="000000"/>
        </w:rPr>
        <w:t>02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964620">
        <w:rPr>
          <w:rFonts w:ascii="Arial" w:hAnsi="Arial" w:cs="Arial"/>
          <w:color w:val="000000"/>
        </w:rPr>
        <w:t>maio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408B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786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2017-01-31T21:47:00Z</cp:lastPrinted>
  <dcterms:created xsi:type="dcterms:W3CDTF">2017-05-02T18:27:00Z</dcterms:created>
  <dcterms:modified xsi:type="dcterms:W3CDTF">2017-05-02T18:32:00Z</dcterms:modified>
</cp:coreProperties>
</file>