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AC7" w:rsidRDefault="00724AC7" w:rsidP="006A4EE4"/>
    <w:p w:rsidR="006A4EE4" w:rsidRPr="006A4EE4" w:rsidRDefault="006A4EE4" w:rsidP="006A4EE4">
      <w:pPr>
        <w:keepNext/>
        <w:spacing w:after="60"/>
        <w:ind w:firstLine="709"/>
        <w:jc w:val="center"/>
        <w:outlineLvl w:val="0"/>
        <w:rPr>
          <w:rFonts w:ascii="Arial" w:eastAsia="Times New Roman" w:hAnsi="Arial" w:cs="Arial"/>
          <w:b/>
          <w:bCs/>
          <w:smallCaps/>
          <w:kern w:val="32"/>
          <w:sz w:val="24"/>
          <w:szCs w:val="24"/>
          <w:lang w:eastAsia="pt-BR"/>
        </w:rPr>
      </w:pPr>
      <w:bookmarkStart w:id="0" w:name="_Toc126118573"/>
      <w:r w:rsidRPr="006A4EE4">
        <w:rPr>
          <w:rFonts w:ascii="Arial" w:eastAsia="Times New Roman" w:hAnsi="Arial" w:cs="Arial"/>
          <w:b/>
          <w:bCs/>
          <w:smallCaps/>
          <w:kern w:val="32"/>
          <w:sz w:val="24"/>
          <w:szCs w:val="24"/>
          <w:lang w:eastAsia="pt-BR"/>
        </w:rPr>
        <w:t>Termo de Referência</w:t>
      </w:r>
      <w:bookmarkEnd w:id="0"/>
      <w:r w:rsidR="009C6FB4">
        <w:rPr>
          <w:rFonts w:ascii="Arial" w:eastAsia="Times New Roman" w:hAnsi="Arial" w:cs="Arial"/>
          <w:b/>
          <w:bCs/>
          <w:smallCaps/>
          <w:kern w:val="32"/>
          <w:sz w:val="24"/>
          <w:szCs w:val="24"/>
          <w:lang w:eastAsia="pt-BR"/>
        </w:rPr>
        <w:t xml:space="preserve"> (PROVISÓRIO)</w:t>
      </w:r>
    </w:p>
    <w:p w:rsidR="006A4EE4" w:rsidRPr="006A4EE4" w:rsidRDefault="006A4EE4" w:rsidP="006A4EE4">
      <w:pPr>
        <w:spacing w:line="276" w:lineRule="auto"/>
        <w:ind w:firstLine="709"/>
        <w:jc w:val="both"/>
        <w:rPr>
          <w:rFonts w:ascii="Calibri" w:eastAsia="Calibri" w:hAnsi="Calibri"/>
          <w:sz w:val="22"/>
          <w:szCs w:val="22"/>
          <w:lang w:eastAsia="pt-BR"/>
        </w:rPr>
      </w:pPr>
    </w:p>
    <w:p w:rsidR="006A4EE4" w:rsidRPr="006A4EE4" w:rsidRDefault="006A4EE4" w:rsidP="006A4EE4">
      <w:pPr>
        <w:widowControl w:val="0"/>
        <w:pBdr>
          <w:bottom w:val="single" w:sz="4" w:space="1" w:color="auto"/>
        </w:pBdr>
        <w:spacing w:after="200" w:line="276" w:lineRule="auto"/>
        <w:ind w:firstLine="709"/>
        <w:jc w:val="center"/>
        <w:rPr>
          <w:rFonts w:ascii="Arial" w:eastAsia="Calibri" w:hAnsi="Arial" w:cs="Arial"/>
          <w:b/>
          <w:i/>
          <w:sz w:val="24"/>
          <w:szCs w:val="24"/>
          <w:lang w:eastAsia="en-US"/>
        </w:rPr>
      </w:pPr>
      <w:r w:rsidRPr="006A4EE4">
        <w:rPr>
          <w:rFonts w:ascii="Arial" w:eastAsia="Calibri" w:hAnsi="Arial" w:cs="Arial"/>
          <w:b/>
          <w:sz w:val="24"/>
          <w:szCs w:val="24"/>
          <w:lang w:eastAsia="en-US"/>
        </w:rPr>
        <w:t>Contratação de serviços de consultoria especializada para realização dos Estudos Hidrogeológicos da Região Centro-Norte do Estado do Tocantins</w:t>
      </w:r>
    </w:p>
    <w:p w:rsidR="006A4EE4" w:rsidRPr="006A4EE4" w:rsidRDefault="006A4EE4" w:rsidP="006A4EE4">
      <w:pPr>
        <w:widowControl w:val="0"/>
        <w:spacing w:line="360" w:lineRule="auto"/>
        <w:ind w:firstLine="709"/>
        <w:jc w:val="both"/>
        <w:rPr>
          <w:rFonts w:ascii="Arial" w:eastAsia="Calibri" w:hAnsi="Arial" w:cs="Arial"/>
          <w:b/>
          <w:sz w:val="24"/>
          <w:szCs w:val="24"/>
          <w:lang w:eastAsia="en-US"/>
        </w:rPr>
      </w:pPr>
    </w:p>
    <w:p w:rsidR="006A4EE4" w:rsidRPr="006A4EE4" w:rsidRDefault="006A4EE4" w:rsidP="006A4EE4">
      <w:pPr>
        <w:widowControl w:val="0"/>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1. CONTEXTO DOS SERVIÇOS</w:t>
      </w:r>
    </w:p>
    <w:p w:rsidR="006A4EE4" w:rsidRPr="006A4EE4" w:rsidRDefault="006A4EE4" w:rsidP="006A4EE4">
      <w:pPr>
        <w:spacing w:after="200" w:line="276" w:lineRule="auto"/>
        <w:ind w:firstLine="709"/>
        <w:jc w:val="both"/>
        <w:rPr>
          <w:rFonts w:ascii="Arial" w:eastAsia="Calibri" w:hAnsi="Arial" w:cs="Arial"/>
          <w:sz w:val="24"/>
          <w:szCs w:val="24"/>
          <w:highlight w:val="yellow"/>
          <w:lang w:eastAsia="en-US"/>
        </w:rPr>
      </w:pPr>
      <w:r w:rsidRPr="006A4EE4">
        <w:rPr>
          <w:rFonts w:ascii="Arial" w:eastAsia="Calibri" w:hAnsi="Arial" w:cs="Arial"/>
          <w:sz w:val="24"/>
          <w:szCs w:val="24"/>
          <w:lang w:eastAsia="en-US"/>
        </w:rPr>
        <w:t>O Governo do Estado do Tocantins negociou o Contrato de Empréstimo N</w:t>
      </w:r>
      <w:r w:rsidRPr="006A4EE4">
        <w:rPr>
          <w:rFonts w:ascii="Arial" w:eastAsia="Calibri" w:hAnsi="Arial" w:cs="Arial"/>
          <w:sz w:val="24"/>
          <w:szCs w:val="24"/>
          <w:vertAlign w:val="superscript"/>
          <w:lang w:eastAsia="en-US"/>
        </w:rPr>
        <w:t>o</w:t>
      </w:r>
      <w:r w:rsidRPr="006A4EE4">
        <w:rPr>
          <w:rFonts w:ascii="Arial" w:eastAsia="Calibri" w:hAnsi="Arial" w:cs="Arial"/>
          <w:sz w:val="24"/>
          <w:szCs w:val="24"/>
          <w:lang w:eastAsia="en-US"/>
        </w:rPr>
        <w:t xml:space="preserve"> LN 8185 – BR, com o Banco Internacional para Reconstrução e Desenvolvimento (BIRD), para financiamento da execução do Projeto de Desenvolvimento Regional Integrado e Sustentável do Tocantins (PDRIS). O referido Projeto tem como executores a Secretaria do Planejamento e </w:t>
      </w:r>
      <w:r w:rsidR="00592100">
        <w:rPr>
          <w:rFonts w:ascii="Arial" w:eastAsia="Calibri" w:hAnsi="Arial" w:cs="Arial"/>
          <w:sz w:val="24"/>
          <w:szCs w:val="24"/>
          <w:lang w:eastAsia="en-US"/>
        </w:rPr>
        <w:t>Orçamento</w:t>
      </w:r>
      <w:r w:rsidRPr="006A4EE4">
        <w:rPr>
          <w:rFonts w:ascii="Arial" w:eastAsia="Calibri" w:hAnsi="Arial" w:cs="Arial"/>
          <w:sz w:val="24"/>
          <w:szCs w:val="24"/>
          <w:lang w:eastAsia="en-US"/>
        </w:rPr>
        <w:t xml:space="preserve"> (SEPLAN), </w:t>
      </w:r>
      <w:r w:rsidR="00592100">
        <w:rPr>
          <w:rFonts w:ascii="Arial" w:eastAsia="Calibri" w:hAnsi="Arial" w:cs="Arial"/>
          <w:sz w:val="24"/>
          <w:szCs w:val="24"/>
          <w:lang w:eastAsia="en-US"/>
        </w:rPr>
        <w:t xml:space="preserve">o Departamento de Estradas e Rodagens do Estado do Tocantins </w:t>
      </w:r>
      <w:r w:rsidRPr="006A4EE4">
        <w:rPr>
          <w:rFonts w:ascii="Arial" w:eastAsia="Calibri" w:hAnsi="Arial" w:cs="Arial"/>
          <w:sz w:val="24"/>
          <w:szCs w:val="24"/>
          <w:lang w:eastAsia="en-US"/>
        </w:rPr>
        <w:t>(</w:t>
      </w:r>
      <w:r w:rsidR="00592100">
        <w:rPr>
          <w:rFonts w:ascii="Arial" w:eastAsia="Calibri" w:hAnsi="Arial" w:cs="Arial"/>
          <w:sz w:val="24"/>
          <w:szCs w:val="24"/>
          <w:lang w:eastAsia="en-US"/>
        </w:rPr>
        <w:t>DERTINS</w:t>
      </w:r>
      <w:r w:rsidRPr="006A4EE4">
        <w:rPr>
          <w:rFonts w:ascii="Arial" w:eastAsia="Calibri" w:hAnsi="Arial" w:cs="Arial"/>
          <w:sz w:val="24"/>
          <w:szCs w:val="24"/>
          <w:lang w:eastAsia="en-US"/>
        </w:rPr>
        <w:t xml:space="preserve">), a Secretaria do Meio Ambiente e </w:t>
      </w:r>
      <w:r w:rsidR="00592100">
        <w:rPr>
          <w:rFonts w:ascii="Arial" w:eastAsia="Calibri" w:hAnsi="Arial" w:cs="Arial"/>
          <w:sz w:val="24"/>
          <w:szCs w:val="24"/>
          <w:lang w:eastAsia="en-US"/>
        </w:rPr>
        <w:t>Recurso Hídricos</w:t>
      </w:r>
      <w:r w:rsidRPr="006A4EE4">
        <w:rPr>
          <w:rFonts w:ascii="Arial" w:eastAsia="Calibri" w:hAnsi="Arial" w:cs="Arial"/>
          <w:sz w:val="24"/>
          <w:szCs w:val="24"/>
          <w:lang w:eastAsia="en-US"/>
        </w:rPr>
        <w:t xml:space="preserve"> (SEMA</w:t>
      </w:r>
      <w:r w:rsidR="00592100">
        <w:rPr>
          <w:rFonts w:ascii="Arial" w:eastAsia="Calibri" w:hAnsi="Arial" w:cs="Arial"/>
          <w:sz w:val="24"/>
          <w:szCs w:val="24"/>
          <w:lang w:eastAsia="en-US"/>
        </w:rPr>
        <w:t>RH</w:t>
      </w:r>
      <w:r w:rsidRPr="006A4EE4">
        <w:rPr>
          <w:rFonts w:ascii="Arial" w:eastAsia="Calibri" w:hAnsi="Arial" w:cs="Arial"/>
          <w:sz w:val="24"/>
          <w:szCs w:val="24"/>
          <w:lang w:eastAsia="en-US"/>
        </w:rPr>
        <w:t xml:space="preserve">), a Secretaria da Educação (SEDUC), a Secretaria da Agricultura, da Pecuária e do Desenvolvimento Agrário (SEAGRO) e Instituto Natureza do Tocantins (NATURATINS). A coordenação geral deste está a cargo da Unidade de Gerenciamento do PDRIS UGP-PDRIS, por meio da Superintendência de </w:t>
      </w:r>
      <w:r w:rsidR="00592100">
        <w:rPr>
          <w:rFonts w:ascii="Arial" w:eastAsia="Calibri" w:hAnsi="Arial" w:cs="Arial"/>
          <w:sz w:val="24"/>
          <w:szCs w:val="24"/>
          <w:lang w:eastAsia="en-US"/>
        </w:rPr>
        <w:t>Planejamento e Desenvolvimento da</w:t>
      </w:r>
      <w:r w:rsidRPr="006A4EE4">
        <w:rPr>
          <w:rFonts w:ascii="Arial" w:eastAsia="Calibri" w:hAnsi="Arial" w:cs="Arial"/>
          <w:sz w:val="24"/>
          <w:szCs w:val="24"/>
          <w:lang w:eastAsia="en-US"/>
        </w:rPr>
        <w:t xml:space="preserve"> SEPLAN.</w:t>
      </w:r>
    </w:p>
    <w:p w:rsidR="006A4EE4" w:rsidRPr="006A4EE4" w:rsidRDefault="006A4EE4" w:rsidP="006A4EE4">
      <w:pPr>
        <w:spacing w:after="60" w:line="276" w:lineRule="auto"/>
        <w:ind w:firstLine="709"/>
        <w:jc w:val="both"/>
        <w:rPr>
          <w:rFonts w:ascii="Arial" w:eastAsia="Calibri" w:hAnsi="Arial" w:cs="Arial"/>
          <w:sz w:val="24"/>
          <w:szCs w:val="24"/>
          <w:lang w:eastAsia="en-US"/>
        </w:rPr>
      </w:pPr>
      <w:r w:rsidRPr="006A4EE4">
        <w:rPr>
          <w:rFonts w:ascii="Arial" w:eastAsia="Calibri" w:hAnsi="Arial" w:cs="Arial"/>
          <w:sz w:val="24"/>
          <w:szCs w:val="24"/>
          <w:lang w:eastAsia="en-US"/>
        </w:rPr>
        <w:t xml:space="preserve">O Projeto tem por objetivo </w:t>
      </w:r>
      <w:r w:rsidRPr="006A4EE4">
        <w:rPr>
          <w:rFonts w:ascii="Arial" w:eastAsia="Calibri" w:hAnsi="Arial" w:cs="Arial"/>
          <w:bCs/>
          <w:sz w:val="24"/>
          <w:szCs w:val="24"/>
          <w:lang w:eastAsia="en-US"/>
        </w:rPr>
        <w:t xml:space="preserve">fomentar o melhoramento da eficácia do transporte rodoviário e a eficiência de um conjunto selecionado de serviços públicos em apoio a um desenvolvimento integrado e territorialmente equilibrado do Estado. Seus </w:t>
      </w:r>
      <w:r w:rsidRPr="006A4EE4">
        <w:rPr>
          <w:rFonts w:ascii="Arial" w:eastAsia="Calibri" w:hAnsi="Arial" w:cs="Arial"/>
          <w:sz w:val="24"/>
          <w:szCs w:val="24"/>
          <w:lang w:eastAsia="en-US"/>
        </w:rPr>
        <w:t xml:space="preserve">componentes são: (i) o </w:t>
      </w:r>
      <w:r w:rsidRPr="006A4EE4">
        <w:rPr>
          <w:rFonts w:ascii="Arial" w:eastAsia="Calibri" w:hAnsi="Arial" w:cs="Arial"/>
          <w:bCs/>
          <w:sz w:val="24"/>
          <w:szCs w:val="24"/>
          <w:lang w:eastAsia="en-US"/>
        </w:rPr>
        <w:t>melhoramento integrado da eficácia do transporte</w:t>
      </w:r>
      <w:r w:rsidRPr="006A4EE4">
        <w:rPr>
          <w:rFonts w:ascii="Arial" w:eastAsia="Calibri" w:hAnsi="Arial" w:cs="Arial"/>
          <w:sz w:val="24"/>
          <w:szCs w:val="24"/>
          <w:lang w:eastAsia="en-US"/>
        </w:rPr>
        <w:t>; e (ii) o</w:t>
      </w:r>
      <w:r w:rsidRPr="006A4EE4">
        <w:rPr>
          <w:rFonts w:ascii="Arial" w:eastAsia="Calibri" w:hAnsi="Arial" w:cs="Arial"/>
          <w:bCs/>
          <w:sz w:val="24"/>
          <w:szCs w:val="24"/>
          <w:lang w:eastAsia="en-US"/>
        </w:rPr>
        <w:t xml:space="preserve"> melhoramento da eficiência dos serviços públicos selecionados</w:t>
      </w:r>
      <w:r w:rsidRPr="006A4EE4">
        <w:rPr>
          <w:rFonts w:ascii="Arial" w:eastAsia="Calibri" w:hAnsi="Arial" w:cs="Arial"/>
          <w:sz w:val="24"/>
          <w:szCs w:val="24"/>
          <w:lang w:eastAsia="en-US"/>
        </w:rPr>
        <w:t>.</w:t>
      </w:r>
    </w:p>
    <w:p w:rsidR="006A4EE4" w:rsidRPr="006A4EE4" w:rsidRDefault="006A4EE4" w:rsidP="006A4EE4">
      <w:pPr>
        <w:spacing w:after="60" w:line="276" w:lineRule="auto"/>
        <w:ind w:firstLine="709"/>
        <w:jc w:val="both"/>
        <w:rPr>
          <w:rFonts w:ascii="Arial" w:eastAsia="Calibri" w:hAnsi="Arial" w:cs="Arial"/>
          <w:sz w:val="24"/>
          <w:szCs w:val="24"/>
          <w:lang w:eastAsia="en-US"/>
        </w:rPr>
      </w:pPr>
      <w:r w:rsidRPr="006A4EE4">
        <w:rPr>
          <w:rFonts w:ascii="Arial" w:eastAsia="Calibri" w:hAnsi="Arial" w:cs="Arial"/>
          <w:sz w:val="24"/>
          <w:szCs w:val="24"/>
          <w:lang w:eastAsia="en-US"/>
        </w:rPr>
        <w:t xml:space="preserve">No </w:t>
      </w:r>
      <w:r w:rsidRPr="006A4EE4">
        <w:rPr>
          <w:rFonts w:ascii="Arial" w:eastAsia="Calibri" w:hAnsi="Arial" w:cs="Arial"/>
          <w:bCs/>
          <w:sz w:val="24"/>
          <w:szCs w:val="24"/>
          <w:lang w:eastAsia="en-US"/>
        </w:rPr>
        <w:t>Melhoramento Integrado da Eficácia do Transporte</w:t>
      </w:r>
      <w:r w:rsidRPr="006A4EE4">
        <w:rPr>
          <w:rFonts w:ascii="Arial" w:eastAsia="Calibri" w:hAnsi="Arial" w:cs="Arial"/>
          <w:b/>
          <w:sz w:val="24"/>
          <w:szCs w:val="24"/>
          <w:lang w:eastAsia="en-US"/>
        </w:rPr>
        <w:t xml:space="preserve">, </w:t>
      </w:r>
      <w:r w:rsidRPr="006A4EE4">
        <w:rPr>
          <w:rFonts w:ascii="Arial" w:eastAsia="Calibri" w:hAnsi="Arial" w:cs="Arial"/>
          <w:sz w:val="24"/>
          <w:szCs w:val="24"/>
          <w:lang w:eastAsia="en-US"/>
        </w:rPr>
        <w:t xml:space="preserve">que atuará </w:t>
      </w:r>
      <w:r w:rsidRPr="006A4EE4">
        <w:rPr>
          <w:rFonts w:ascii="Arial" w:eastAsia="Calibri" w:hAnsi="Arial" w:cs="Arial"/>
          <w:bCs/>
          <w:sz w:val="24"/>
          <w:szCs w:val="24"/>
          <w:lang w:eastAsia="en-US"/>
        </w:rPr>
        <w:t>na ponta da fronteira agrícola nas regiões rurais do Tocantins para melhorar acessibilidade até os principais corredores logísticos do país para escoamento das produções</w:t>
      </w:r>
      <w:r w:rsidRPr="006A4EE4">
        <w:rPr>
          <w:rFonts w:ascii="Arial" w:eastAsia="Calibri" w:hAnsi="Arial" w:cs="Arial"/>
          <w:sz w:val="24"/>
          <w:szCs w:val="24"/>
          <w:lang w:eastAsia="en-US"/>
        </w:rPr>
        <w:t>: (i) m</w:t>
      </w:r>
      <w:r w:rsidRPr="006A4EE4">
        <w:rPr>
          <w:rFonts w:ascii="Arial" w:eastAsia="Calibri" w:hAnsi="Arial" w:cs="Arial"/>
          <w:bCs/>
          <w:sz w:val="24"/>
          <w:szCs w:val="24"/>
          <w:lang w:eastAsia="en-US"/>
        </w:rPr>
        <w:t>elhoramento do acesso para populações rurais a serviços, trabalhos e mercados pela eliminação de pontos críticos nas redes municipais através da construção de obras hidráulicas na parte oeste do Estado, em linha com os sucessos do PDRIS no leste do Estado</w:t>
      </w:r>
      <w:r w:rsidRPr="006A4EE4">
        <w:rPr>
          <w:rFonts w:ascii="Arial" w:eastAsia="Calibri" w:hAnsi="Arial" w:cs="Arial"/>
          <w:sz w:val="24"/>
          <w:szCs w:val="24"/>
          <w:lang w:eastAsia="en-US"/>
        </w:rPr>
        <w:t>; (ii) r</w:t>
      </w:r>
      <w:r w:rsidRPr="006A4EE4">
        <w:rPr>
          <w:rFonts w:ascii="Arial" w:eastAsia="Calibri" w:hAnsi="Arial" w:cs="Arial"/>
          <w:bCs/>
          <w:sz w:val="24"/>
          <w:szCs w:val="24"/>
          <w:lang w:eastAsia="en-US"/>
        </w:rPr>
        <w:t>ejuvenescimento e melhoramento da eficiência do gerenciamento da malha rodoviária estadual pavimentada através da implementação de contratos CREMA sobre aproximadamente 1.600 km de rodovias estaduais</w:t>
      </w:r>
      <w:r w:rsidRPr="006A4EE4">
        <w:rPr>
          <w:rFonts w:ascii="Arial" w:eastAsia="Calibri" w:hAnsi="Arial" w:cs="Arial"/>
          <w:sz w:val="24"/>
          <w:szCs w:val="24"/>
          <w:lang w:eastAsia="en-US"/>
        </w:rPr>
        <w:t>; (iii) m</w:t>
      </w:r>
      <w:r w:rsidRPr="006A4EE4">
        <w:rPr>
          <w:rFonts w:ascii="Arial" w:eastAsia="Calibri" w:hAnsi="Arial" w:cs="Arial"/>
          <w:bCs/>
          <w:sz w:val="24"/>
          <w:szCs w:val="24"/>
          <w:lang w:eastAsia="en-US"/>
        </w:rPr>
        <w:t>elhoramento das condições de transporte na rede estadual e da segurança rodoviária nas estradas estaduais não pavimentadas  através de eliminação de pontos críticos pela construção de obras hidráulicas no lugar de pontes estreitas existentes e pavimentação de trechos permitindo fechar a malha e melhorar a logística do Estado; e (iv) melhoramento da capacidade de planejamento e gerenciamento do transporte e da logística, incluindo nos seus aspectos de segurança, no Estado através de apoio institucional</w:t>
      </w:r>
      <w:r w:rsidRPr="006A4EE4">
        <w:rPr>
          <w:rFonts w:ascii="Arial" w:eastAsia="Calibri" w:hAnsi="Arial" w:cs="Arial"/>
          <w:sz w:val="24"/>
          <w:szCs w:val="24"/>
          <w:lang w:eastAsia="en-US"/>
        </w:rPr>
        <w:t>.</w:t>
      </w:r>
    </w:p>
    <w:p w:rsidR="006A4EE4" w:rsidRPr="006A4EE4" w:rsidRDefault="006A4EE4" w:rsidP="006A4EE4">
      <w:pPr>
        <w:spacing w:after="60" w:line="276" w:lineRule="auto"/>
        <w:ind w:firstLine="709"/>
        <w:jc w:val="both"/>
        <w:rPr>
          <w:rFonts w:ascii="Arial" w:eastAsia="Calibri" w:hAnsi="Arial" w:cs="Arial"/>
          <w:sz w:val="24"/>
          <w:szCs w:val="24"/>
          <w:lang w:eastAsia="en-US"/>
        </w:rPr>
      </w:pPr>
      <w:r w:rsidRPr="006A4EE4">
        <w:rPr>
          <w:rFonts w:ascii="Arial" w:eastAsia="Calibri" w:hAnsi="Arial" w:cs="Arial"/>
          <w:color w:val="000000"/>
          <w:sz w:val="24"/>
          <w:szCs w:val="24"/>
          <w:lang w:eastAsia="en-US"/>
        </w:rPr>
        <w:lastRenderedPageBreak/>
        <w:t>No Melhoramento da Eficiência dos Serviços Públicos Selecionados objetiva-se fomentar o desenvolvimento local com crescimento sustentável e providenciar melhores serviços aos usuários de serviços públicos selecionados: (i) modernização da administração via a introdução de uma cultura de gerenciamento por resultados, a descentralização e a otimização do uso da terra; (ii) apoio ao desenvolvimento da produção local, principalmente, através do desenvolvimento de projetos pilotos de capacitação, infraestrutura e cadeia de produção; (iii) melhoramento do gerenciamento do meio ambiental e desenvolvimento rural em articulação com os outros componentes e o GEF nas áreas do melhoramento do licenciamento, da proteção da biodiversidade e da gestão dos recursos hídricos; e (iv) melhoramento da qualidade na educação via a implementação de sistemas de informação e gerenciamento, capacitação e apoio a populações frágeis.</w:t>
      </w:r>
    </w:p>
    <w:p w:rsidR="006A4EE4" w:rsidRPr="006A4EE4" w:rsidRDefault="006A4EE4" w:rsidP="006A4EE4">
      <w:pPr>
        <w:widowControl w:val="0"/>
        <w:spacing w:after="200" w:line="276" w:lineRule="auto"/>
        <w:ind w:firstLine="709"/>
        <w:jc w:val="both"/>
        <w:rPr>
          <w:rFonts w:ascii="Arial" w:eastAsia="Batang" w:hAnsi="Arial" w:cs="Arial"/>
          <w:sz w:val="24"/>
          <w:szCs w:val="24"/>
          <w:lang w:eastAsia="en-US"/>
        </w:rPr>
      </w:pPr>
      <w:r w:rsidRPr="006A4EE4">
        <w:rPr>
          <w:rFonts w:ascii="Arial" w:eastAsia="Calibri" w:hAnsi="Arial" w:cs="Arial"/>
          <w:sz w:val="24"/>
          <w:szCs w:val="24"/>
          <w:lang w:eastAsia="en-US"/>
        </w:rPr>
        <w:t>O PDRIS é um meio para o Governo Estadual fazer ações de gerenciamento para proteção dos mananciais superficiais e subterrâneos e desencadeamento de ações preventivas quanto à degradação e a escassez quantitativa e qualitativa das águas com vistas à garantia dos usos múltiplos</w:t>
      </w:r>
      <w:r w:rsidRPr="006A4EE4">
        <w:rPr>
          <w:rFonts w:ascii="Arial" w:eastAsia="Batang" w:hAnsi="Arial" w:cs="Arial"/>
          <w:sz w:val="24"/>
          <w:szCs w:val="24"/>
          <w:lang w:eastAsia="en-US"/>
        </w:rPr>
        <w:t>.</w:t>
      </w:r>
    </w:p>
    <w:p w:rsidR="006A4EE4" w:rsidRPr="006A4EE4" w:rsidRDefault="006A4EE4" w:rsidP="006A4EE4">
      <w:pPr>
        <w:widowControl w:val="0"/>
        <w:spacing w:after="200" w:line="276" w:lineRule="auto"/>
        <w:ind w:firstLine="709"/>
        <w:jc w:val="both"/>
        <w:rPr>
          <w:rFonts w:ascii="Arial" w:eastAsia="Calibri" w:hAnsi="Arial" w:cs="Arial"/>
          <w:sz w:val="24"/>
          <w:szCs w:val="24"/>
          <w:lang w:eastAsia="en-US"/>
        </w:rPr>
      </w:pPr>
      <w:r w:rsidRPr="006A4EE4">
        <w:rPr>
          <w:rFonts w:ascii="Arial" w:eastAsia="Calibri" w:hAnsi="Arial" w:cs="Arial"/>
          <w:sz w:val="24"/>
          <w:szCs w:val="24"/>
          <w:lang w:eastAsia="en-US"/>
        </w:rPr>
        <w:t>Assim, este TdR dará as diretrizes para os serviços de elaboração do Diagnóstico</w:t>
      </w:r>
      <w:r w:rsidR="00D80369">
        <w:rPr>
          <w:rFonts w:ascii="Arial" w:eastAsia="Calibri" w:hAnsi="Arial" w:cs="Arial"/>
          <w:sz w:val="24"/>
          <w:szCs w:val="24"/>
          <w:lang w:eastAsia="en-US"/>
        </w:rPr>
        <w:t xml:space="preserve"> </w:t>
      </w:r>
      <w:r w:rsidRPr="006A4EE4">
        <w:rPr>
          <w:rFonts w:ascii="Arial" w:eastAsia="Calibri" w:hAnsi="Arial" w:cs="Arial"/>
          <w:sz w:val="24"/>
          <w:szCs w:val="24"/>
          <w:lang w:eastAsia="en-US"/>
        </w:rPr>
        <w:t>Hidrogeológico da Região Centro-Norte. Como produto de</w:t>
      </w:r>
      <w:r w:rsidR="00D80369">
        <w:rPr>
          <w:rFonts w:ascii="Arial" w:eastAsia="Calibri" w:hAnsi="Arial" w:cs="Arial"/>
          <w:sz w:val="24"/>
          <w:szCs w:val="24"/>
          <w:lang w:eastAsia="en-US"/>
        </w:rPr>
        <w:t xml:space="preserve"> </w:t>
      </w:r>
      <w:r w:rsidRPr="006A4EE4">
        <w:rPr>
          <w:rFonts w:ascii="Arial" w:eastAsia="Calibri" w:hAnsi="Arial" w:cs="Arial"/>
          <w:sz w:val="24"/>
          <w:szCs w:val="24"/>
          <w:lang w:eastAsia="en-US"/>
        </w:rPr>
        <w:t>um cenário abrangente e integrado, serão destacadas as características gerais dos aquíferos e das províncias hidrogeológicas da região, de forma acessível ao aos técnicos envolvidos na gestão de recursos hídricos, e aos usuários do setor privado que também utilizam água subterrânea.</w:t>
      </w:r>
    </w:p>
    <w:p w:rsidR="006A4EE4" w:rsidRPr="006A4EE4" w:rsidRDefault="006A4EE4" w:rsidP="006A4EE4">
      <w:pPr>
        <w:spacing w:line="276" w:lineRule="auto"/>
        <w:ind w:firstLine="720"/>
        <w:jc w:val="both"/>
        <w:rPr>
          <w:rFonts w:ascii="Arial" w:eastAsia="Calibri" w:hAnsi="Arial" w:cs="Arial"/>
          <w:sz w:val="24"/>
          <w:szCs w:val="24"/>
          <w:lang w:eastAsia="en-US"/>
        </w:rPr>
      </w:pPr>
      <w:r w:rsidRPr="006A4EE4">
        <w:rPr>
          <w:rFonts w:ascii="Arial" w:eastAsia="Calibri" w:hAnsi="Arial" w:cs="Arial"/>
          <w:sz w:val="24"/>
          <w:szCs w:val="24"/>
          <w:lang w:eastAsia="en-US"/>
        </w:rPr>
        <w:t>Este estudo, ao seu final, será uma ferramenta de grande valia na gestão dos recursos hídricos subterrâneos, permitindo avaliar de modo regional à potencialidade dos aquíferos, suas condições de recarga, fluxo e descarga, aspectos de quantidade e qualidade das águas subterrâneas, grau de vulnerabilidade à contaminação, problemas de superexplotação e esgotamento.</w:t>
      </w:r>
    </w:p>
    <w:p w:rsidR="006A4EE4" w:rsidRPr="006A4EE4" w:rsidRDefault="006A4EE4" w:rsidP="006A4EE4">
      <w:pPr>
        <w:spacing w:line="276" w:lineRule="auto"/>
        <w:jc w:val="both"/>
        <w:rPr>
          <w:rFonts w:ascii="Arial" w:eastAsia="Calibri" w:hAnsi="Arial" w:cs="Arial"/>
          <w:b/>
          <w:sz w:val="24"/>
          <w:szCs w:val="24"/>
          <w:lang w:eastAsia="en-US"/>
        </w:rPr>
      </w:pPr>
    </w:p>
    <w:p w:rsidR="006A4EE4" w:rsidRPr="006A4EE4" w:rsidRDefault="006A4EE4" w:rsidP="006A4EE4">
      <w:pPr>
        <w:spacing w:after="200" w:line="276" w:lineRule="auto"/>
        <w:jc w:val="both"/>
        <w:rPr>
          <w:rFonts w:ascii="Arial" w:eastAsia="Calibri" w:hAnsi="Arial" w:cs="Arial"/>
          <w:sz w:val="24"/>
          <w:szCs w:val="24"/>
          <w:lang w:eastAsia="en-US"/>
        </w:rPr>
      </w:pPr>
      <w:r w:rsidRPr="006A4EE4">
        <w:rPr>
          <w:rFonts w:ascii="Arial" w:eastAsia="Calibri" w:hAnsi="Arial" w:cs="Arial"/>
          <w:b/>
          <w:sz w:val="24"/>
          <w:szCs w:val="24"/>
          <w:lang w:eastAsia="en-US"/>
        </w:rPr>
        <w:t>2. ABRANGÊNCIA DOS TRABALHOS</w:t>
      </w:r>
    </w:p>
    <w:p w:rsidR="006A4EE4" w:rsidRPr="006A4EE4" w:rsidRDefault="006A4EE4" w:rsidP="006A4EE4">
      <w:pPr>
        <w:spacing w:after="200" w:line="276" w:lineRule="auto"/>
        <w:ind w:right="-1" w:firstLine="709"/>
        <w:jc w:val="both"/>
        <w:rPr>
          <w:rFonts w:ascii="Arial" w:eastAsia="Calibri" w:hAnsi="Arial" w:cs="Arial"/>
          <w:sz w:val="24"/>
          <w:szCs w:val="24"/>
          <w:lang w:eastAsia="en-US"/>
        </w:rPr>
      </w:pPr>
      <w:r w:rsidRPr="006A4EE4">
        <w:rPr>
          <w:rFonts w:ascii="Arial" w:eastAsia="Calibri" w:hAnsi="Arial" w:cs="Arial"/>
          <w:sz w:val="24"/>
          <w:szCs w:val="24"/>
          <w:lang w:eastAsia="en-US"/>
        </w:rPr>
        <w:t xml:space="preserve">A área objeto dos serviços é o quadrante centro-norte do Estado do Tocantins (figura em anexo), limitada a oeste com o Estado do Pará; a leste com o Estado do Maranhão; o limite sul da área são os divisores de água da bacia do rio Lajeado, e os divisores de água do rio do Sono. No extremo norte os limites são os encontros das águas dos rios Tocantins e Araguaia, na região conhecida como Bico do Papagaio conforme Zoneamento Ecológico Econômico do Estado do Tocantins (SEPLAN, 2005), com um total de aproximadamente 85 mil Km² de área, representando cerca de 30% da área do Estado. Contemplam os municípios de </w:t>
      </w:r>
      <w:hyperlink r:id="rId8" w:history="1">
        <w:r w:rsidRPr="006A4EE4">
          <w:rPr>
            <w:rFonts w:ascii="Arial" w:eastAsia="Calibri" w:hAnsi="Arial" w:cs="Arial"/>
            <w:sz w:val="24"/>
            <w:szCs w:val="24"/>
            <w:lang w:eastAsia="en-US"/>
          </w:rPr>
          <w:t>Abreulândia</w:t>
        </w:r>
      </w:hyperlink>
      <w:r w:rsidRPr="006A4EE4">
        <w:rPr>
          <w:rFonts w:ascii="Arial" w:eastAsia="Calibri" w:hAnsi="Arial" w:cs="Arial"/>
          <w:sz w:val="24"/>
          <w:szCs w:val="24"/>
          <w:lang w:eastAsia="en-US"/>
        </w:rPr>
        <w:t xml:space="preserve">, </w:t>
      </w:r>
      <w:hyperlink r:id="rId9" w:history="1">
        <w:r w:rsidRPr="006A4EE4">
          <w:rPr>
            <w:rFonts w:ascii="Arial" w:eastAsia="Calibri" w:hAnsi="Arial" w:cs="Arial"/>
            <w:sz w:val="24"/>
            <w:szCs w:val="24"/>
            <w:lang w:eastAsia="en-US"/>
          </w:rPr>
          <w:t>Aguiarnópolis</w:t>
        </w:r>
      </w:hyperlink>
      <w:r w:rsidRPr="006A4EE4">
        <w:rPr>
          <w:rFonts w:ascii="Arial" w:eastAsia="Calibri" w:hAnsi="Arial" w:cs="Arial"/>
          <w:sz w:val="24"/>
          <w:szCs w:val="24"/>
          <w:lang w:eastAsia="en-US"/>
        </w:rPr>
        <w:t xml:space="preserve">, </w:t>
      </w:r>
      <w:hyperlink r:id="rId10" w:history="1">
        <w:r w:rsidRPr="006A4EE4">
          <w:rPr>
            <w:rFonts w:ascii="Arial" w:eastAsia="Calibri" w:hAnsi="Arial" w:cs="Arial"/>
            <w:sz w:val="24"/>
            <w:szCs w:val="24"/>
            <w:lang w:eastAsia="en-US"/>
          </w:rPr>
          <w:t>Ananás</w:t>
        </w:r>
      </w:hyperlink>
      <w:r w:rsidRPr="006A4EE4">
        <w:rPr>
          <w:rFonts w:ascii="Arial" w:eastAsia="Calibri" w:hAnsi="Arial" w:cs="Arial"/>
          <w:sz w:val="24"/>
          <w:szCs w:val="24"/>
          <w:lang w:eastAsia="en-US"/>
        </w:rPr>
        <w:t xml:space="preserve">, </w:t>
      </w:r>
      <w:hyperlink r:id="rId11" w:history="1">
        <w:r w:rsidRPr="006A4EE4">
          <w:rPr>
            <w:rFonts w:ascii="Arial" w:eastAsia="Calibri" w:hAnsi="Arial" w:cs="Arial"/>
            <w:sz w:val="24"/>
            <w:szCs w:val="24"/>
            <w:lang w:eastAsia="en-US"/>
          </w:rPr>
          <w:t>Angico</w:t>
        </w:r>
      </w:hyperlink>
      <w:r w:rsidRPr="006A4EE4">
        <w:rPr>
          <w:rFonts w:ascii="Arial" w:eastAsia="Calibri" w:hAnsi="Arial" w:cs="Arial"/>
          <w:sz w:val="24"/>
          <w:szCs w:val="24"/>
          <w:lang w:eastAsia="en-US"/>
        </w:rPr>
        <w:t xml:space="preserve">, </w:t>
      </w:r>
      <w:hyperlink r:id="rId12" w:history="1">
        <w:r w:rsidRPr="006A4EE4">
          <w:rPr>
            <w:rFonts w:ascii="Arial" w:eastAsia="Calibri" w:hAnsi="Arial" w:cs="Arial"/>
            <w:sz w:val="24"/>
            <w:szCs w:val="24"/>
            <w:lang w:eastAsia="en-US"/>
          </w:rPr>
          <w:t>Aragominas</w:t>
        </w:r>
      </w:hyperlink>
      <w:r w:rsidRPr="006A4EE4">
        <w:rPr>
          <w:rFonts w:ascii="Arial" w:eastAsia="Calibri" w:hAnsi="Arial" w:cs="Arial"/>
          <w:sz w:val="24"/>
          <w:szCs w:val="24"/>
          <w:lang w:eastAsia="en-US"/>
        </w:rPr>
        <w:t xml:space="preserve">, </w:t>
      </w:r>
      <w:hyperlink r:id="rId13" w:history="1">
        <w:r w:rsidRPr="006A4EE4">
          <w:rPr>
            <w:rFonts w:ascii="Arial" w:eastAsia="Calibri" w:hAnsi="Arial" w:cs="Arial"/>
            <w:sz w:val="24"/>
            <w:szCs w:val="24"/>
            <w:lang w:eastAsia="en-US"/>
          </w:rPr>
          <w:t>Araguacema</w:t>
        </w:r>
      </w:hyperlink>
      <w:r w:rsidRPr="006A4EE4">
        <w:rPr>
          <w:rFonts w:ascii="Arial" w:eastAsia="Calibri" w:hAnsi="Arial" w:cs="Arial"/>
          <w:sz w:val="24"/>
          <w:szCs w:val="24"/>
          <w:lang w:eastAsia="en-US"/>
        </w:rPr>
        <w:t xml:space="preserve">, </w:t>
      </w:r>
      <w:hyperlink r:id="rId14" w:history="1">
        <w:r w:rsidRPr="006A4EE4">
          <w:rPr>
            <w:rFonts w:ascii="Arial" w:eastAsia="Calibri" w:hAnsi="Arial" w:cs="Arial"/>
            <w:sz w:val="24"/>
            <w:szCs w:val="24"/>
            <w:lang w:eastAsia="en-US"/>
          </w:rPr>
          <w:t>Araguanã</w:t>
        </w:r>
      </w:hyperlink>
      <w:r w:rsidRPr="006A4EE4">
        <w:rPr>
          <w:rFonts w:ascii="Arial" w:eastAsia="Calibri" w:hAnsi="Arial" w:cs="Arial"/>
          <w:sz w:val="24"/>
          <w:szCs w:val="24"/>
          <w:lang w:eastAsia="en-US"/>
        </w:rPr>
        <w:t xml:space="preserve">, </w:t>
      </w:r>
      <w:hyperlink r:id="rId15" w:history="1">
        <w:r w:rsidRPr="006A4EE4">
          <w:rPr>
            <w:rFonts w:ascii="Arial" w:eastAsia="Calibri" w:hAnsi="Arial" w:cs="Arial"/>
            <w:sz w:val="24"/>
            <w:szCs w:val="24"/>
            <w:lang w:eastAsia="en-US"/>
          </w:rPr>
          <w:t>Araguatins</w:t>
        </w:r>
      </w:hyperlink>
      <w:r w:rsidRPr="006A4EE4">
        <w:rPr>
          <w:rFonts w:ascii="Arial" w:eastAsia="Calibri" w:hAnsi="Arial" w:cs="Arial"/>
          <w:sz w:val="24"/>
          <w:szCs w:val="24"/>
          <w:lang w:eastAsia="en-US"/>
        </w:rPr>
        <w:t xml:space="preserve">, </w:t>
      </w:r>
      <w:hyperlink r:id="rId16" w:history="1">
        <w:r w:rsidRPr="006A4EE4">
          <w:rPr>
            <w:rFonts w:ascii="Arial" w:eastAsia="Calibri" w:hAnsi="Arial" w:cs="Arial"/>
            <w:sz w:val="24"/>
            <w:szCs w:val="24"/>
            <w:lang w:eastAsia="en-US"/>
          </w:rPr>
          <w:t>Araguaína</w:t>
        </w:r>
      </w:hyperlink>
      <w:r w:rsidRPr="006A4EE4">
        <w:rPr>
          <w:rFonts w:ascii="Arial" w:eastAsia="Calibri" w:hAnsi="Arial" w:cs="Arial"/>
          <w:sz w:val="24"/>
          <w:szCs w:val="24"/>
          <w:lang w:eastAsia="en-US"/>
        </w:rPr>
        <w:t xml:space="preserve">, </w:t>
      </w:r>
      <w:hyperlink r:id="rId17" w:history="1">
        <w:r w:rsidRPr="006A4EE4">
          <w:rPr>
            <w:rFonts w:ascii="Arial" w:eastAsia="Calibri" w:hAnsi="Arial" w:cs="Arial"/>
            <w:sz w:val="24"/>
            <w:szCs w:val="24"/>
            <w:lang w:eastAsia="en-US"/>
          </w:rPr>
          <w:t>Arapoema</w:t>
        </w:r>
      </w:hyperlink>
      <w:r w:rsidRPr="006A4EE4">
        <w:rPr>
          <w:rFonts w:ascii="Arial" w:eastAsia="Calibri" w:hAnsi="Arial" w:cs="Arial"/>
          <w:sz w:val="24"/>
          <w:szCs w:val="24"/>
          <w:lang w:eastAsia="en-US"/>
        </w:rPr>
        <w:t xml:space="preserve">, </w:t>
      </w:r>
      <w:hyperlink r:id="rId18" w:history="1">
        <w:r w:rsidRPr="006A4EE4">
          <w:rPr>
            <w:rFonts w:ascii="Arial" w:eastAsia="Calibri" w:hAnsi="Arial" w:cs="Arial"/>
            <w:sz w:val="24"/>
            <w:szCs w:val="24"/>
            <w:lang w:eastAsia="en-US"/>
          </w:rPr>
          <w:t>Augustinópolis</w:t>
        </w:r>
      </w:hyperlink>
      <w:r w:rsidRPr="006A4EE4">
        <w:rPr>
          <w:rFonts w:ascii="Arial" w:eastAsia="Calibri" w:hAnsi="Arial" w:cs="Arial"/>
          <w:sz w:val="24"/>
          <w:szCs w:val="24"/>
          <w:lang w:eastAsia="en-US"/>
        </w:rPr>
        <w:t xml:space="preserve">, </w:t>
      </w:r>
      <w:hyperlink r:id="rId19" w:history="1">
        <w:r w:rsidRPr="006A4EE4">
          <w:rPr>
            <w:rFonts w:ascii="Arial" w:eastAsia="Calibri" w:hAnsi="Arial" w:cs="Arial"/>
            <w:sz w:val="24"/>
            <w:szCs w:val="24"/>
            <w:lang w:eastAsia="en-US"/>
          </w:rPr>
          <w:t>Axixá do Tocantins</w:t>
        </w:r>
      </w:hyperlink>
      <w:r w:rsidRPr="006A4EE4">
        <w:rPr>
          <w:rFonts w:ascii="Arial" w:eastAsia="Calibri" w:hAnsi="Arial" w:cs="Arial"/>
          <w:sz w:val="24"/>
          <w:szCs w:val="24"/>
          <w:lang w:eastAsia="en-US"/>
        </w:rPr>
        <w:t xml:space="preserve">, </w:t>
      </w:r>
      <w:hyperlink r:id="rId20" w:history="1">
        <w:r w:rsidRPr="006A4EE4">
          <w:rPr>
            <w:rFonts w:ascii="Arial" w:eastAsia="Calibri" w:hAnsi="Arial" w:cs="Arial"/>
            <w:sz w:val="24"/>
            <w:szCs w:val="24"/>
            <w:lang w:eastAsia="en-US"/>
          </w:rPr>
          <w:t>Babaçulândia</w:t>
        </w:r>
      </w:hyperlink>
      <w:r w:rsidRPr="006A4EE4">
        <w:rPr>
          <w:rFonts w:ascii="Arial" w:eastAsia="Calibri" w:hAnsi="Arial" w:cs="Arial"/>
          <w:sz w:val="24"/>
          <w:szCs w:val="24"/>
          <w:lang w:eastAsia="en-US"/>
        </w:rPr>
        <w:t xml:space="preserve">, </w:t>
      </w:r>
      <w:hyperlink r:id="rId21" w:history="1">
        <w:r w:rsidRPr="006A4EE4">
          <w:rPr>
            <w:rFonts w:ascii="Arial" w:eastAsia="Calibri" w:hAnsi="Arial" w:cs="Arial"/>
            <w:sz w:val="24"/>
            <w:szCs w:val="24"/>
            <w:lang w:eastAsia="en-US"/>
          </w:rPr>
          <w:t>Bandeirantes do Tocantins</w:t>
        </w:r>
      </w:hyperlink>
      <w:r w:rsidRPr="006A4EE4">
        <w:rPr>
          <w:rFonts w:ascii="Arial" w:eastAsia="Calibri" w:hAnsi="Arial" w:cs="Arial"/>
          <w:sz w:val="24"/>
          <w:szCs w:val="24"/>
          <w:lang w:eastAsia="en-US"/>
        </w:rPr>
        <w:t xml:space="preserve">, </w:t>
      </w:r>
      <w:hyperlink r:id="rId22" w:history="1">
        <w:r w:rsidRPr="006A4EE4">
          <w:rPr>
            <w:rFonts w:ascii="Arial" w:eastAsia="Calibri" w:hAnsi="Arial" w:cs="Arial"/>
            <w:sz w:val="24"/>
            <w:szCs w:val="24"/>
            <w:lang w:eastAsia="en-US"/>
          </w:rPr>
          <w:t>Barra do Ouro</w:t>
        </w:r>
      </w:hyperlink>
      <w:r w:rsidRPr="006A4EE4">
        <w:rPr>
          <w:rFonts w:ascii="Arial" w:eastAsia="Calibri" w:hAnsi="Arial" w:cs="Arial"/>
          <w:sz w:val="24"/>
          <w:szCs w:val="24"/>
          <w:lang w:eastAsia="en-US"/>
        </w:rPr>
        <w:t xml:space="preserve">, </w:t>
      </w:r>
      <w:hyperlink r:id="rId23" w:history="1">
        <w:r w:rsidRPr="006A4EE4">
          <w:rPr>
            <w:rFonts w:ascii="Arial" w:eastAsia="Calibri" w:hAnsi="Arial" w:cs="Arial"/>
            <w:sz w:val="24"/>
            <w:szCs w:val="24"/>
            <w:lang w:eastAsia="en-US"/>
          </w:rPr>
          <w:t>Barrolândia</w:t>
        </w:r>
      </w:hyperlink>
      <w:r w:rsidRPr="006A4EE4">
        <w:rPr>
          <w:rFonts w:ascii="Arial" w:eastAsia="Calibri" w:hAnsi="Arial" w:cs="Arial"/>
          <w:sz w:val="24"/>
          <w:szCs w:val="24"/>
          <w:lang w:eastAsia="en-US"/>
        </w:rPr>
        <w:t xml:space="preserve">, </w:t>
      </w:r>
      <w:hyperlink r:id="rId24" w:history="1">
        <w:r w:rsidRPr="006A4EE4">
          <w:rPr>
            <w:rFonts w:ascii="Arial" w:eastAsia="Calibri" w:hAnsi="Arial" w:cs="Arial"/>
            <w:sz w:val="24"/>
            <w:szCs w:val="24"/>
            <w:lang w:eastAsia="en-US"/>
          </w:rPr>
          <w:t xml:space="preserve">Bernardo </w:t>
        </w:r>
        <w:r w:rsidRPr="006A4EE4">
          <w:rPr>
            <w:rFonts w:ascii="Arial" w:eastAsia="Calibri" w:hAnsi="Arial" w:cs="Arial"/>
            <w:sz w:val="24"/>
            <w:szCs w:val="24"/>
            <w:lang w:eastAsia="en-US"/>
          </w:rPr>
          <w:lastRenderedPageBreak/>
          <w:t>Sayão</w:t>
        </w:r>
      </w:hyperlink>
      <w:r w:rsidRPr="006A4EE4">
        <w:rPr>
          <w:rFonts w:ascii="Arial" w:eastAsia="Calibri" w:hAnsi="Arial" w:cs="Arial"/>
          <w:sz w:val="24"/>
          <w:szCs w:val="24"/>
          <w:lang w:eastAsia="en-US"/>
        </w:rPr>
        <w:t xml:space="preserve">, </w:t>
      </w:r>
      <w:hyperlink r:id="rId25" w:history="1">
        <w:r w:rsidRPr="006A4EE4">
          <w:rPr>
            <w:rFonts w:ascii="Arial" w:eastAsia="Calibri" w:hAnsi="Arial" w:cs="Arial"/>
            <w:sz w:val="24"/>
            <w:szCs w:val="24"/>
            <w:lang w:eastAsia="en-US"/>
          </w:rPr>
          <w:t>Brasilândia do Tocantins</w:t>
        </w:r>
      </w:hyperlink>
      <w:r w:rsidRPr="006A4EE4">
        <w:rPr>
          <w:rFonts w:ascii="Arial" w:eastAsia="Calibri" w:hAnsi="Arial" w:cs="Arial"/>
          <w:sz w:val="24"/>
          <w:szCs w:val="24"/>
          <w:lang w:eastAsia="en-US"/>
        </w:rPr>
        <w:t xml:space="preserve">, </w:t>
      </w:r>
      <w:hyperlink r:id="rId26" w:history="1">
        <w:r w:rsidRPr="006A4EE4">
          <w:rPr>
            <w:rFonts w:ascii="Arial" w:eastAsia="Calibri" w:hAnsi="Arial" w:cs="Arial"/>
            <w:sz w:val="24"/>
            <w:szCs w:val="24"/>
            <w:lang w:eastAsia="en-US"/>
          </w:rPr>
          <w:t>Buriti do Tocantins</w:t>
        </w:r>
      </w:hyperlink>
      <w:r w:rsidRPr="006A4EE4">
        <w:rPr>
          <w:rFonts w:ascii="Arial" w:eastAsia="Calibri" w:hAnsi="Arial" w:cs="Arial"/>
          <w:sz w:val="24"/>
          <w:szCs w:val="24"/>
          <w:lang w:eastAsia="en-US"/>
        </w:rPr>
        <w:t xml:space="preserve">, </w:t>
      </w:r>
      <w:hyperlink r:id="rId27" w:history="1">
        <w:r w:rsidRPr="006A4EE4">
          <w:rPr>
            <w:rFonts w:ascii="Arial" w:eastAsia="Calibri" w:hAnsi="Arial" w:cs="Arial"/>
            <w:sz w:val="24"/>
            <w:szCs w:val="24"/>
            <w:lang w:eastAsia="en-US"/>
          </w:rPr>
          <w:t>Cachoeirinha</w:t>
        </w:r>
      </w:hyperlink>
      <w:r w:rsidRPr="006A4EE4">
        <w:rPr>
          <w:rFonts w:ascii="Arial" w:eastAsia="Calibri" w:hAnsi="Arial" w:cs="Arial"/>
          <w:sz w:val="24"/>
          <w:szCs w:val="24"/>
          <w:lang w:eastAsia="en-US"/>
        </w:rPr>
        <w:t xml:space="preserve">, </w:t>
      </w:r>
      <w:hyperlink r:id="rId28" w:history="1">
        <w:r w:rsidRPr="006A4EE4">
          <w:rPr>
            <w:rFonts w:ascii="Arial" w:eastAsia="Calibri" w:hAnsi="Arial" w:cs="Arial"/>
            <w:sz w:val="24"/>
            <w:szCs w:val="24"/>
            <w:lang w:eastAsia="en-US"/>
          </w:rPr>
          <w:t>Campos Lindos</w:t>
        </w:r>
      </w:hyperlink>
      <w:r w:rsidRPr="006A4EE4">
        <w:rPr>
          <w:rFonts w:ascii="Arial" w:eastAsia="Calibri" w:hAnsi="Arial" w:cs="Arial"/>
          <w:sz w:val="24"/>
          <w:szCs w:val="24"/>
          <w:lang w:eastAsia="en-US"/>
        </w:rPr>
        <w:t xml:space="preserve">, </w:t>
      </w:r>
      <w:hyperlink r:id="rId29" w:history="1">
        <w:r w:rsidRPr="006A4EE4">
          <w:rPr>
            <w:rFonts w:ascii="Arial" w:eastAsia="Calibri" w:hAnsi="Arial" w:cs="Arial"/>
            <w:sz w:val="24"/>
            <w:szCs w:val="24"/>
            <w:lang w:eastAsia="en-US"/>
          </w:rPr>
          <w:t>Carmolândia</w:t>
        </w:r>
      </w:hyperlink>
      <w:r w:rsidRPr="006A4EE4">
        <w:rPr>
          <w:rFonts w:ascii="Arial" w:eastAsia="Calibri" w:hAnsi="Arial" w:cs="Arial"/>
          <w:sz w:val="24"/>
          <w:szCs w:val="24"/>
          <w:lang w:eastAsia="en-US"/>
        </w:rPr>
        <w:t xml:space="preserve">, </w:t>
      </w:r>
      <w:hyperlink r:id="rId30" w:history="1">
        <w:r w:rsidRPr="006A4EE4">
          <w:rPr>
            <w:rFonts w:ascii="Arial" w:eastAsia="Calibri" w:hAnsi="Arial" w:cs="Arial"/>
            <w:sz w:val="24"/>
            <w:szCs w:val="24"/>
            <w:lang w:eastAsia="en-US"/>
          </w:rPr>
          <w:t>Carrasco Bonito</w:t>
        </w:r>
      </w:hyperlink>
      <w:r w:rsidRPr="006A4EE4">
        <w:rPr>
          <w:rFonts w:ascii="Arial" w:eastAsia="Calibri" w:hAnsi="Arial" w:cs="Arial"/>
          <w:sz w:val="24"/>
          <w:szCs w:val="24"/>
          <w:lang w:eastAsia="en-US"/>
        </w:rPr>
        <w:t xml:space="preserve">, </w:t>
      </w:r>
      <w:hyperlink r:id="rId31" w:history="1">
        <w:r w:rsidRPr="006A4EE4">
          <w:rPr>
            <w:rFonts w:ascii="Arial" w:eastAsia="Calibri" w:hAnsi="Arial" w:cs="Arial"/>
            <w:sz w:val="24"/>
            <w:szCs w:val="24"/>
            <w:lang w:eastAsia="en-US"/>
          </w:rPr>
          <w:t>Centenário</w:t>
        </w:r>
      </w:hyperlink>
      <w:r w:rsidRPr="006A4EE4">
        <w:rPr>
          <w:rFonts w:ascii="Arial" w:eastAsia="Calibri" w:hAnsi="Arial" w:cs="Arial"/>
          <w:sz w:val="24"/>
          <w:szCs w:val="24"/>
          <w:lang w:eastAsia="en-US"/>
        </w:rPr>
        <w:t xml:space="preserve">, </w:t>
      </w:r>
      <w:hyperlink r:id="rId32" w:history="1">
        <w:r w:rsidRPr="006A4EE4">
          <w:rPr>
            <w:rFonts w:ascii="Arial" w:eastAsia="Calibri" w:hAnsi="Arial" w:cs="Arial"/>
            <w:sz w:val="24"/>
            <w:szCs w:val="24"/>
            <w:lang w:eastAsia="en-US"/>
          </w:rPr>
          <w:t>Colinas do Tocantins</w:t>
        </w:r>
      </w:hyperlink>
      <w:r w:rsidRPr="006A4EE4">
        <w:rPr>
          <w:rFonts w:ascii="Arial" w:eastAsia="Calibri" w:hAnsi="Arial" w:cs="Arial"/>
          <w:sz w:val="24"/>
          <w:szCs w:val="24"/>
          <w:lang w:eastAsia="en-US"/>
        </w:rPr>
        <w:t xml:space="preserve">, </w:t>
      </w:r>
      <w:hyperlink r:id="rId33" w:history="1">
        <w:r w:rsidRPr="006A4EE4">
          <w:rPr>
            <w:rFonts w:ascii="Arial" w:eastAsia="Calibri" w:hAnsi="Arial" w:cs="Arial"/>
            <w:sz w:val="24"/>
            <w:szCs w:val="24"/>
            <w:lang w:eastAsia="en-US"/>
          </w:rPr>
          <w:t>Colméia</w:t>
        </w:r>
      </w:hyperlink>
      <w:r w:rsidRPr="006A4EE4">
        <w:rPr>
          <w:rFonts w:ascii="Arial" w:eastAsia="Calibri" w:hAnsi="Arial" w:cs="Arial"/>
          <w:sz w:val="24"/>
          <w:szCs w:val="24"/>
          <w:lang w:eastAsia="en-US"/>
        </w:rPr>
        <w:t xml:space="preserve">, </w:t>
      </w:r>
      <w:hyperlink r:id="rId34" w:history="1">
        <w:r w:rsidRPr="006A4EE4">
          <w:rPr>
            <w:rFonts w:ascii="Arial" w:eastAsia="Calibri" w:hAnsi="Arial" w:cs="Arial"/>
            <w:sz w:val="24"/>
            <w:szCs w:val="24"/>
            <w:lang w:eastAsia="en-US"/>
          </w:rPr>
          <w:t>Couto Magalhães</w:t>
        </w:r>
      </w:hyperlink>
      <w:r w:rsidRPr="006A4EE4">
        <w:rPr>
          <w:rFonts w:ascii="Arial" w:eastAsia="Calibri" w:hAnsi="Arial" w:cs="Arial"/>
          <w:sz w:val="24"/>
          <w:szCs w:val="24"/>
          <w:lang w:eastAsia="en-US"/>
        </w:rPr>
        <w:t xml:space="preserve">, </w:t>
      </w:r>
      <w:hyperlink r:id="rId35" w:history="1">
        <w:r w:rsidRPr="006A4EE4">
          <w:rPr>
            <w:rFonts w:ascii="Arial" w:eastAsia="Calibri" w:hAnsi="Arial" w:cs="Arial"/>
            <w:sz w:val="24"/>
            <w:szCs w:val="24"/>
            <w:lang w:eastAsia="en-US"/>
          </w:rPr>
          <w:t>Darcinópolis</w:t>
        </w:r>
      </w:hyperlink>
      <w:r w:rsidRPr="006A4EE4">
        <w:rPr>
          <w:rFonts w:ascii="Arial" w:eastAsia="Calibri" w:hAnsi="Arial" w:cs="Arial"/>
          <w:sz w:val="24"/>
          <w:szCs w:val="24"/>
          <w:lang w:eastAsia="en-US"/>
        </w:rPr>
        <w:t xml:space="preserve">, </w:t>
      </w:r>
      <w:hyperlink r:id="rId36" w:history="1">
        <w:r w:rsidRPr="006A4EE4">
          <w:rPr>
            <w:rFonts w:ascii="Arial" w:eastAsia="Calibri" w:hAnsi="Arial" w:cs="Arial"/>
            <w:sz w:val="24"/>
            <w:szCs w:val="24"/>
            <w:lang w:eastAsia="en-US"/>
          </w:rPr>
          <w:t>Dois Irmãos do Tocantins</w:t>
        </w:r>
      </w:hyperlink>
      <w:r w:rsidRPr="006A4EE4">
        <w:rPr>
          <w:rFonts w:ascii="Arial" w:eastAsia="Calibri" w:hAnsi="Arial" w:cs="Arial"/>
          <w:sz w:val="24"/>
          <w:szCs w:val="24"/>
          <w:lang w:eastAsia="en-US"/>
        </w:rPr>
        <w:t xml:space="preserve">, </w:t>
      </w:r>
      <w:hyperlink r:id="rId37" w:history="1">
        <w:r w:rsidRPr="006A4EE4">
          <w:rPr>
            <w:rFonts w:ascii="Arial" w:eastAsia="Calibri" w:hAnsi="Arial" w:cs="Arial"/>
            <w:sz w:val="24"/>
            <w:szCs w:val="24"/>
            <w:lang w:eastAsia="en-US"/>
          </w:rPr>
          <w:t>Esperantina</w:t>
        </w:r>
      </w:hyperlink>
      <w:r w:rsidRPr="006A4EE4">
        <w:rPr>
          <w:rFonts w:ascii="Arial" w:eastAsia="Calibri" w:hAnsi="Arial" w:cs="Arial"/>
          <w:sz w:val="24"/>
          <w:szCs w:val="24"/>
          <w:lang w:eastAsia="en-US"/>
        </w:rPr>
        <w:t xml:space="preserve">, </w:t>
      </w:r>
      <w:hyperlink r:id="rId38" w:history="1">
        <w:r w:rsidRPr="006A4EE4">
          <w:rPr>
            <w:rFonts w:ascii="Arial" w:eastAsia="Calibri" w:hAnsi="Arial" w:cs="Arial"/>
            <w:sz w:val="24"/>
            <w:szCs w:val="24"/>
            <w:lang w:eastAsia="en-US"/>
          </w:rPr>
          <w:t>Filadélfia</w:t>
        </w:r>
      </w:hyperlink>
      <w:r w:rsidRPr="006A4EE4">
        <w:rPr>
          <w:rFonts w:ascii="Arial" w:eastAsia="Calibri" w:hAnsi="Arial" w:cs="Arial"/>
          <w:sz w:val="24"/>
          <w:szCs w:val="24"/>
          <w:lang w:eastAsia="en-US"/>
        </w:rPr>
        <w:t xml:space="preserve">, </w:t>
      </w:r>
      <w:hyperlink r:id="rId39" w:history="1">
        <w:r w:rsidRPr="006A4EE4">
          <w:rPr>
            <w:rFonts w:ascii="Arial" w:eastAsia="Calibri" w:hAnsi="Arial" w:cs="Arial"/>
            <w:sz w:val="24"/>
            <w:szCs w:val="24"/>
            <w:lang w:eastAsia="en-US"/>
          </w:rPr>
          <w:t>Fortaleza do Tabocão</w:t>
        </w:r>
      </w:hyperlink>
      <w:r w:rsidRPr="006A4EE4">
        <w:rPr>
          <w:rFonts w:ascii="Arial" w:eastAsia="Calibri" w:hAnsi="Arial" w:cs="Arial"/>
          <w:sz w:val="24"/>
          <w:szCs w:val="24"/>
          <w:lang w:eastAsia="en-US"/>
        </w:rPr>
        <w:t xml:space="preserve">, </w:t>
      </w:r>
      <w:hyperlink r:id="rId40" w:history="1">
        <w:r w:rsidRPr="006A4EE4">
          <w:rPr>
            <w:rFonts w:ascii="Arial" w:eastAsia="Calibri" w:hAnsi="Arial" w:cs="Arial"/>
            <w:sz w:val="24"/>
            <w:szCs w:val="24"/>
            <w:lang w:eastAsia="en-US"/>
          </w:rPr>
          <w:t>Goianorte</w:t>
        </w:r>
      </w:hyperlink>
      <w:r w:rsidRPr="006A4EE4">
        <w:rPr>
          <w:rFonts w:ascii="Arial" w:eastAsia="Calibri" w:hAnsi="Arial" w:cs="Arial"/>
          <w:sz w:val="24"/>
          <w:szCs w:val="24"/>
          <w:lang w:eastAsia="en-US"/>
        </w:rPr>
        <w:t xml:space="preserve">, </w:t>
      </w:r>
      <w:hyperlink r:id="rId41" w:history="1">
        <w:r w:rsidRPr="006A4EE4">
          <w:rPr>
            <w:rFonts w:ascii="Arial" w:eastAsia="Calibri" w:hAnsi="Arial" w:cs="Arial"/>
            <w:sz w:val="24"/>
            <w:szCs w:val="24"/>
            <w:lang w:eastAsia="en-US"/>
          </w:rPr>
          <w:t>Goiatins</w:t>
        </w:r>
      </w:hyperlink>
      <w:r w:rsidRPr="006A4EE4">
        <w:rPr>
          <w:rFonts w:ascii="Arial" w:eastAsia="Calibri" w:hAnsi="Arial" w:cs="Arial"/>
          <w:sz w:val="24"/>
          <w:szCs w:val="24"/>
          <w:lang w:eastAsia="en-US"/>
        </w:rPr>
        <w:t xml:space="preserve">, </w:t>
      </w:r>
      <w:hyperlink r:id="rId42" w:history="1">
        <w:r w:rsidRPr="006A4EE4">
          <w:rPr>
            <w:rFonts w:ascii="Arial" w:eastAsia="Calibri" w:hAnsi="Arial" w:cs="Arial"/>
            <w:sz w:val="24"/>
            <w:szCs w:val="24"/>
            <w:lang w:eastAsia="en-US"/>
          </w:rPr>
          <w:t>Guaraí</w:t>
        </w:r>
      </w:hyperlink>
      <w:r w:rsidRPr="006A4EE4">
        <w:rPr>
          <w:rFonts w:ascii="Arial" w:eastAsia="Calibri" w:hAnsi="Arial" w:cs="Arial"/>
          <w:sz w:val="24"/>
          <w:szCs w:val="24"/>
          <w:lang w:eastAsia="en-US"/>
        </w:rPr>
        <w:t xml:space="preserve">, Itacajá, </w:t>
      </w:r>
      <w:hyperlink r:id="rId43" w:history="1">
        <w:r w:rsidRPr="006A4EE4">
          <w:rPr>
            <w:rFonts w:ascii="Arial" w:eastAsia="Calibri" w:hAnsi="Arial" w:cs="Arial"/>
            <w:sz w:val="24"/>
            <w:szCs w:val="24"/>
            <w:lang w:eastAsia="en-US"/>
          </w:rPr>
          <w:t>Itaguatins</w:t>
        </w:r>
      </w:hyperlink>
      <w:r w:rsidRPr="006A4EE4">
        <w:rPr>
          <w:rFonts w:ascii="Arial" w:eastAsia="Calibri" w:hAnsi="Arial" w:cs="Arial"/>
          <w:sz w:val="24"/>
          <w:szCs w:val="24"/>
          <w:lang w:eastAsia="en-US"/>
        </w:rPr>
        <w:t xml:space="preserve">, </w:t>
      </w:r>
      <w:hyperlink r:id="rId44" w:history="1">
        <w:r w:rsidRPr="006A4EE4">
          <w:rPr>
            <w:rFonts w:ascii="Arial" w:eastAsia="Calibri" w:hAnsi="Arial" w:cs="Arial"/>
            <w:sz w:val="24"/>
            <w:szCs w:val="24"/>
            <w:lang w:eastAsia="en-US"/>
          </w:rPr>
          <w:t>Itapiratins</w:t>
        </w:r>
      </w:hyperlink>
      <w:r w:rsidRPr="006A4EE4">
        <w:rPr>
          <w:rFonts w:ascii="Arial" w:eastAsia="Calibri" w:hAnsi="Arial" w:cs="Arial"/>
          <w:sz w:val="24"/>
          <w:szCs w:val="24"/>
          <w:lang w:eastAsia="en-US"/>
        </w:rPr>
        <w:t xml:space="preserve">, </w:t>
      </w:r>
      <w:hyperlink r:id="rId45" w:history="1">
        <w:r w:rsidRPr="006A4EE4">
          <w:rPr>
            <w:rFonts w:ascii="Arial" w:eastAsia="Calibri" w:hAnsi="Arial" w:cs="Arial"/>
            <w:sz w:val="24"/>
            <w:szCs w:val="24"/>
            <w:lang w:eastAsia="en-US"/>
          </w:rPr>
          <w:t>Itaporã do Tocantins</w:t>
        </w:r>
      </w:hyperlink>
      <w:r w:rsidRPr="006A4EE4">
        <w:rPr>
          <w:rFonts w:ascii="Arial" w:eastAsia="Calibri" w:hAnsi="Arial" w:cs="Arial"/>
          <w:sz w:val="24"/>
          <w:szCs w:val="24"/>
          <w:lang w:eastAsia="en-US"/>
        </w:rPr>
        <w:t xml:space="preserve">, </w:t>
      </w:r>
      <w:hyperlink r:id="rId46" w:history="1">
        <w:r w:rsidRPr="006A4EE4">
          <w:rPr>
            <w:rFonts w:ascii="Arial" w:eastAsia="Calibri" w:hAnsi="Arial" w:cs="Arial"/>
            <w:sz w:val="24"/>
            <w:szCs w:val="24"/>
            <w:lang w:eastAsia="en-US"/>
          </w:rPr>
          <w:t>Juarina</w:t>
        </w:r>
      </w:hyperlink>
      <w:r w:rsidRPr="006A4EE4">
        <w:rPr>
          <w:rFonts w:ascii="Arial" w:eastAsia="Calibri" w:hAnsi="Arial" w:cs="Arial"/>
          <w:sz w:val="24"/>
          <w:szCs w:val="24"/>
          <w:lang w:eastAsia="en-US"/>
        </w:rPr>
        <w:t xml:space="preserve">, </w:t>
      </w:r>
      <w:hyperlink r:id="rId47" w:history="1">
        <w:r w:rsidRPr="006A4EE4">
          <w:rPr>
            <w:rFonts w:ascii="Arial" w:eastAsia="Calibri" w:hAnsi="Arial" w:cs="Arial"/>
            <w:sz w:val="24"/>
            <w:szCs w:val="24"/>
            <w:lang w:eastAsia="en-US"/>
          </w:rPr>
          <w:t>Lizarda</w:t>
        </w:r>
      </w:hyperlink>
      <w:r w:rsidRPr="006A4EE4">
        <w:rPr>
          <w:rFonts w:ascii="Arial" w:eastAsia="Calibri" w:hAnsi="Arial" w:cs="Arial"/>
          <w:sz w:val="24"/>
          <w:szCs w:val="24"/>
          <w:lang w:eastAsia="en-US"/>
        </w:rPr>
        <w:t xml:space="preserve">, </w:t>
      </w:r>
      <w:hyperlink r:id="rId48" w:history="1">
        <w:r w:rsidRPr="006A4EE4">
          <w:rPr>
            <w:rFonts w:ascii="Arial" w:eastAsia="Calibri" w:hAnsi="Arial" w:cs="Arial"/>
            <w:sz w:val="24"/>
            <w:szCs w:val="24"/>
            <w:lang w:eastAsia="en-US"/>
          </w:rPr>
          <w:t>Luzinópolis</w:t>
        </w:r>
      </w:hyperlink>
      <w:r w:rsidRPr="006A4EE4">
        <w:rPr>
          <w:rFonts w:ascii="Arial" w:eastAsia="Calibri" w:hAnsi="Arial" w:cs="Arial"/>
          <w:sz w:val="24"/>
          <w:szCs w:val="24"/>
          <w:lang w:eastAsia="en-US"/>
        </w:rPr>
        <w:t xml:space="preserve">, </w:t>
      </w:r>
      <w:hyperlink r:id="rId49" w:history="1">
        <w:r w:rsidRPr="006A4EE4">
          <w:rPr>
            <w:rFonts w:ascii="Arial" w:eastAsia="Calibri" w:hAnsi="Arial" w:cs="Arial"/>
            <w:sz w:val="24"/>
            <w:szCs w:val="24"/>
            <w:lang w:eastAsia="en-US"/>
          </w:rPr>
          <w:t>Maurilândia do Tocantins</w:t>
        </w:r>
      </w:hyperlink>
      <w:r w:rsidRPr="006A4EE4">
        <w:rPr>
          <w:rFonts w:ascii="Arial" w:eastAsia="Calibri" w:hAnsi="Arial" w:cs="Arial"/>
          <w:sz w:val="24"/>
          <w:szCs w:val="24"/>
          <w:lang w:eastAsia="en-US"/>
        </w:rPr>
        <w:t xml:space="preserve">, </w:t>
      </w:r>
      <w:hyperlink r:id="rId50" w:history="1">
        <w:r w:rsidRPr="006A4EE4">
          <w:rPr>
            <w:rFonts w:ascii="Arial" w:eastAsia="Calibri" w:hAnsi="Arial" w:cs="Arial"/>
            <w:sz w:val="24"/>
            <w:szCs w:val="24"/>
            <w:lang w:eastAsia="en-US"/>
          </w:rPr>
          <w:t>Miracema do Tocantins</w:t>
        </w:r>
      </w:hyperlink>
      <w:r w:rsidRPr="006A4EE4">
        <w:rPr>
          <w:rFonts w:ascii="Arial" w:eastAsia="Calibri" w:hAnsi="Arial" w:cs="Arial"/>
          <w:sz w:val="24"/>
          <w:szCs w:val="24"/>
          <w:lang w:eastAsia="en-US"/>
        </w:rPr>
        <w:t xml:space="preserve">, </w:t>
      </w:r>
      <w:hyperlink r:id="rId51" w:history="1">
        <w:r w:rsidRPr="006A4EE4">
          <w:rPr>
            <w:rFonts w:ascii="Arial" w:eastAsia="Calibri" w:hAnsi="Arial" w:cs="Arial"/>
            <w:sz w:val="24"/>
            <w:szCs w:val="24"/>
            <w:lang w:eastAsia="en-US"/>
          </w:rPr>
          <w:t>Miranorte</w:t>
        </w:r>
      </w:hyperlink>
      <w:r w:rsidRPr="006A4EE4">
        <w:rPr>
          <w:rFonts w:ascii="Arial" w:eastAsia="Calibri" w:hAnsi="Arial" w:cs="Arial"/>
          <w:sz w:val="24"/>
          <w:szCs w:val="24"/>
          <w:lang w:eastAsia="en-US"/>
        </w:rPr>
        <w:t xml:space="preserve">, </w:t>
      </w:r>
      <w:hyperlink r:id="rId52" w:history="1">
        <w:r w:rsidRPr="006A4EE4">
          <w:rPr>
            <w:rFonts w:ascii="Arial" w:eastAsia="Calibri" w:hAnsi="Arial" w:cs="Arial"/>
            <w:sz w:val="24"/>
            <w:szCs w:val="24"/>
            <w:lang w:eastAsia="en-US"/>
          </w:rPr>
          <w:t>Muricilândia</w:t>
        </w:r>
      </w:hyperlink>
      <w:r w:rsidRPr="006A4EE4">
        <w:rPr>
          <w:rFonts w:ascii="Arial" w:eastAsia="Calibri" w:hAnsi="Arial" w:cs="Arial"/>
          <w:sz w:val="24"/>
          <w:szCs w:val="24"/>
          <w:lang w:eastAsia="en-US"/>
        </w:rPr>
        <w:t xml:space="preserve">, </w:t>
      </w:r>
      <w:hyperlink r:id="rId53" w:history="1">
        <w:r w:rsidRPr="006A4EE4">
          <w:rPr>
            <w:rFonts w:ascii="Arial" w:eastAsia="Calibri" w:hAnsi="Arial" w:cs="Arial"/>
            <w:sz w:val="24"/>
            <w:szCs w:val="24"/>
            <w:lang w:eastAsia="en-US"/>
          </w:rPr>
          <w:t>Nazaré do Tocantins</w:t>
        </w:r>
      </w:hyperlink>
      <w:r w:rsidRPr="006A4EE4">
        <w:rPr>
          <w:rFonts w:ascii="Arial" w:eastAsia="Calibri" w:hAnsi="Arial" w:cs="Arial"/>
          <w:sz w:val="24"/>
          <w:szCs w:val="24"/>
          <w:lang w:eastAsia="en-US"/>
        </w:rPr>
        <w:t xml:space="preserve">, </w:t>
      </w:r>
      <w:hyperlink r:id="rId54" w:history="1">
        <w:r w:rsidRPr="006A4EE4">
          <w:rPr>
            <w:rFonts w:ascii="Arial" w:eastAsia="Calibri" w:hAnsi="Arial" w:cs="Arial"/>
            <w:sz w:val="24"/>
            <w:szCs w:val="24"/>
            <w:lang w:eastAsia="en-US"/>
          </w:rPr>
          <w:t>Nova Olinda</w:t>
        </w:r>
      </w:hyperlink>
      <w:r w:rsidRPr="006A4EE4">
        <w:rPr>
          <w:rFonts w:ascii="Arial" w:eastAsia="Calibri" w:hAnsi="Arial" w:cs="Arial"/>
          <w:sz w:val="24"/>
          <w:szCs w:val="24"/>
          <w:lang w:eastAsia="en-US"/>
        </w:rPr>
        <w:t xml:space="preserve">, </w:t>
      </w:r>
      <w:hyperlink r:id="rId55" w:history="1">
        <w:r w:rsidRPr="006A4EE4">
          <w:rPr>
            <w:rFonts w:ascii="Arial" w:eastAsia="Calibri" w:hAnsi="Arial" w:cs="Arial"/>
            <w:sz w:val="24"/>
            <w:szCs w:val="24"/>
            <w:lang w:eastAsia="en-US"/>
          </w:rPr>
          <w:t>Palmeirante</w:t>
        </w:r>
      </w:hyperlink>
      <w:r w:rsidRPr="006A4EE4">
        <w:rPr>
          <w:rFonts w:ascii="Arial" w:eastAsia="Calibri" w:hAnsi="Arial" w:cs="Arial"/>
          <w:sz w:val="24"/>
          <w:szCs w:val="24"/>
          <w:lang w:eastAsia="en-US"/>
        </w:rPr>
        <w:t xml:space="preserve">, </w:t>
      </w:r>
      <w:hyperlink r:id="rId56" w:history="1">
        <w:r w:rsidRPr="006A4EE4">
          <w:rPr>
            <w:rFonts w:ascii="Arial" w:eastAsia="Calibri" w:hAnsi="Arial" w:cs="Arial"/>
            <w:sz w:val="24"/>
            <w:szCs w:val="24"/>
            <w:lang w:eastAsia="en-US"/>
          </w:rPr>
          <w:t>Palmeiras do Tocantins</w:t>
        </w:r>
      </w:hyperlink>
      <w:r w:rsidRPr="006A4EE4">
        <w:rPr>
          <w:rFonts w:ascii="Arial" w:eastAsia="Calibri" w:hAnsi="Arial" w:cs="Arial"/>
          <w:sz w:val="24"/>
          <w:szCs w:val="24"/>
          <w:lang w:eastAsia="en-US"/>
        </w:rPr>
        <w:t xml:space="preserve">, </w:t>
      </w:r>
      <w:hyperlink r:id="rId57" w:history="1">
        <w:r w:rsidRPr="006A4EE4">
          <w:rPr>
            <w:rFonts w:ascii="Arial" w:eastAsia="Calibri" w:hAnsi="Arial" w:cs="Arial"/>
            <w:sz w:val="24"/>
            <w:szCs w:val="24"/>
            <w:lang w:eastAsia="en-US"/>
          </w:rPr>
          <w:t>Pau D'arco</w:t>
        </w:r>
      </w:hyperlink>
      <w:r w:rsidRPr="006A4EE4">
        <w:rPr>
          <w:rFonts w:ascii="Arial" w:eastAsia="Calibri" w:hAnsi="Arial" w:cs="Arial"/>
          <w:sz w:val="24"/>
          <w:szCs w:val="24"/>
          <w:lang w:eastAsia="en-US"/>
        </w:rPr>
        <w:t xml:space="preserve">, </w:t>
      </w:r>
      <w:hyperlink r:id="rId58" w:history="1">
        <w:r w:rsidRPr="006A4EE4">
          <w:rPr>
            <w:rFonts w:ascii="Arial" w:eastAsia="Calibri" w:hAnsi="Arial" w:cs="Arial"/>
            <w:sz w:val="24"/>
            <w:szCs w:val="24"/>
            <w:lang w:eastAsia="en-US"/>
          </w:rPr>
          <w:t>Pedro Afonso</w:t>
        </w:r>
      </w:hyperlink>
      <w:r w:rsidRPr="006A4EE4">
        <w:rPr>
          <w:rFonts w:ascii="Arial" w:eastAsia="Calibri" w:hAnsi="Arial" w:cs="Arial"/>
          <w:sz w:val="24"/>
          <w:szCs w:val="24"/>
          <w:lang w:eastAsia="en-US"/>
        </w:rPr>
        <w:t xml:space="preserve">, </w:t>
      </w:r>
      <w:hyperlink r:id="rId59" w:history="1">
        <w:r w:rsidRPr="006A4EE4">
          <w:rPr>
            <w:rFonts w:ascii="Arial" w:eastAsia="Calibri" w:hAnsi="Arial" w:cs="Arial"/>
            <w:sz w:val="24"/>
            <w:szCs w:val="24"/>
            <w:lang w:eastAsia="en-US"/>
          </w:rPr>
          <w:t>Pequizeiro</w:t>
        </w:r>
      </w:hyperlink>
      <w:r w:rsidRPr="006A4EE4">
        <w:rPr>
          <w:rFonts w:ascii="Arial" w:eastAsia="Calibri" w:hAnsi="Arial" w:cs="Arial"/>
          <w:sz w:val="24"/>
          <w:szCs w:val="24"/>
          <w:lang w:eastAsia="en-US"/>
        </w:rPr>
        <w:t xml:space="preserve">, </w:t>
      </w:r>
      <w:hyperlink r:id="rId60" w:history="1">
        <w:r w:rsidRPr="006A4EE4">
          <w:rPr>
            <w:rFonts w:ascii="Arial" w:eastAsia="Calibri" w:hAnsi="Arial" w:cs="Arial"/>
            <w:sz w:val="24"/>
            <w:szCs w:val="24"/>
            <w:lang w:eastAsia="en-US"/>
          </w:rPr>
          <w:t>Piraquê</w:t>
        </w:r>
      </w:hyperlink>
      <w:r w:rsidRPr="006A4EE4">
        <w:rPr>
          <w:rFonts w:ascii="Arial" w:eastAsia="Calibri" w:hAnsi="Arial" w:cs="Arial"/>
          <w:sz w:val="24"/>
          <w:szCs w:val="24"/>
          <w:lang w:eastAsia="en-US"/>
        </w:rPr>
        <w:t xml:space="preserve">, </w:t>
      </w:r>
      <w:hyperlink r:id="rId61" w:history="1">
        <w:r w:rsidRPr="006A4EE4">
          <w:rPr>
            <w:rFonts w:ascii="Arial" w:eastAsia="Calibri" w:hAnsi="Arial" w:cs="Arial"/>
            <w:sz w:val="24"/>
            <w:szCs w:val="24"/>
            <w:lang w:eastAsia="en-US"/>
          </w:rPr>
          <w:t>Praia Norte</w:t>
        </w:r>
      </w:hyperlink>
      <w:r w:rsidRPr="006A4EE4">
        <w:rPr>
          <w:rFonts w:ascii="Arial" w:eastAsia="Calibri" w:hAnsi="Arial" w:cs="Arial"/>
          <w:sz w:val="24"/>
          <w:szCs w:val="24"/>
          <w:lang w:eastAsia="en-US"/>
        </w:rPr>
        <w:t xml:space="preserve">, </w:t>
      </w:r>
      <w:hyperlink r:id="rId62" w:history="1">
        <w:r w:rsidRPr="006A4EE4">
          <w:rPr>
            <w:rFonts w:ascii="Arial" w:eastAsia="Calibri" w:hAnsi="Arial" w:cs="Arial"/>
            <w:sz w:val="24"/>
            <w:szCs w:val="24"/>
            <w:lang w:eastAsia="en-US"/>
          </w:rPr>
          <w:t>Presidente Kennedy</w:t>
        </w:r>
      </w:hyperlink>
      <w:r w:rsidRPr="006A4EE4">
        <w:rPr>
          <w:rFonts w:ascii="Arial" w:eastAsia="Calibri" w:hAnsi="Arial" w:cs="Arial"/>
          <w:sz w:val="24"/>
          <w:szCs w:val="24"/>
          <w:lang w:eastAsia="en-US"/>
        </w:rPr>
        <w:t xml:space="preserve">, </w:t>
      </w:r>
      <w:hyperlink r:id="rId63" w:history="1">
        <w:r w:rsidRPr="006A4EE4">
          <w:rPr>
            <w:rFonts w:ascii="Arial" w:eastAsia="Calibri" w:hAnsi="Arial" w:cs="Arial"/>
            <w:sz w:val="24"/>
            <w:szCs w:val="24"/>
            <w:lang w:eastAsia="en-US"/>
          </w:rPr>
          <w:t>Recursolândia</w:t>
        </w:r>
      </w:hyperlink>
      <w:r w:rsidRPr="006A4EE4">
        <w:rPr>
          <w:rFonts w:ascii="Arial" w:eastAsia="Calibri" w:hAnsi="Arial" w:cs="Arial"/>
          <w:sz w:val="24"/>
          <w:szCs w:val="24"/>
          <w:lang w:eastAsia="en-US"/>
        </w:rPr>
        <w:t xml:space="preserve">, </w:t>
      </w:r>
      <w:hyperlink r:id="rId64" w:history="1">
        <w:r w:rsidRPr="006A4EE4">
          <w:rPr>
            <w:rFonts w:ascii="Arial" w:eastAsia="Calibri" w:hAnsi="Arial" w:cs="Arial"/>
            <w:sz w:val="24"/>
            <w:szCs w:val="24"/>
            <w:lang w:eastAsia="en-US"/>
          </w:rPr>
          <w:t>Riachinho</w:t>
        </w:r>
      </w:hyperlink>
      <w:r w:rsidRPr="006A4EE4">
        <w:rPr>
          <w:rFonts w:ascii="Arial" w:eastAsia="Calibri" w:hAnsi="Arial" w:cs="Arial"/>
          <w:sz w:val="24"/>
          <w:szCs w:val="24"/>
          <w:lang w:eastAsia="en-US"/>
        </w:rPr>
        <w:t xml:space="preserve">, </w:t>
      </w:r>
      <w:hyperlink r:id="rId65" w:history="1">
        <w:r w:rsidRPr="006A4EE4">
          <w:rPr>
            <w:rFonts w:ascii="Arial" w:eastAsia="Calibri" w:hAnsi="Arial" w:cs="Arial"/>
            <w:sz w:val="24"/>
            <w:szCs w:val="24"/>
            <w:lang w:eastAsia="en-US"/>
          </w:rPr>
          <w:t>Rio Sono</w:t>
        </w:r>
      </w:hyperlink>
      <w:r w:rsidRPr="006A4EE4">
        <w:rPr>
          <w:rFonts w:ascii="Arial" w:eastAsia="Calibri" w:hAnsi="Arial" w:cs="Arial"/>
          <w:sz w:val="24"/>
          <w:szCs w:val="24"/>
          <w:lang w:eastAsia="en-US"/>
        </w:rPr>
        <w:t xml:space="preserve">, </w:t>
      </w:r>
      <w:hyperlink r:id="rId66" w:history="1">
        <w:r w:rsidRPr="006A4EE4">
          <w:rPr>
            <w:rFonts w:ascii="Arial" w:eastAsia="Calibri" w:hAnsi="Arial" w:cs="Arial"/>
            <w:sz w:val="24"/>
            <w:szCs w:val="24"/>
            <w:lang w:eastAsia="en-US"/>
          </w:rPr>
          <w:t>Rio dos Bois</w:t>
        </w:r>
      </w:hyperlink>
      <w:r w:rsidRPr="006A4EE4">
        <w:rPr>
          <w:rFonts w:ascii="Arial" w:eastAsia="Calibri" w:hAnsi="Arial" w:cs="Arial"/>
          <w:sz w:val="24"/>
          <w:szCs w:val="24"/>
          <w:lang w:eastAsia="en-US"/>
        </w:rPr>
        <w:t xml:space="preserve">, </w:t>
      </w:r>
      <w:hyperlink r:id="rId67" w:history="1">
        <w:r w:rsidRPr="006A4EE4">
          <w:rPr>
            <w:rFonts w:ascii="Arial" w:eastAsia="Calibri" w:hAnsi="Arial" w:cs="Arial"/>
            <w:sz w:val="24"/>
            <w:szCs w:val="24"/>
            <w:lang w:eastAsia="en-US"/>
          </w:rPr>
          <w:t>Sampaio</w:t>
        </w:r>
      </w:hyperlink>
      <w:r w:rsidRPr="006A4EE4">
        <w:rPr>
          <w:rFonts w:ascii="Arial" w:eastAsia="Calibri" w:hAnsi="Arial" w:cs="Arial"/>
          <w:sz w:val="24"/>
          <w:szCs w:val="24"/>
          <w:lang w:eastAsia="en-US"/>
        </w:rPr>
        <w:t xml:space="preserve">, </w:t>
      </w:r>
      <w:hyperlink r:id="rId68" w:history="1">
        <w:r w:rsidRPr="006A4EE4">
          <w:rPr>
            <w:rFonts w:ascii="Arial" w:eastAsia="Calibri" w:hAnsi="Arial" w:cs="Arial"/>
            <w:sz w:val="24"/>
            <w:szCs w:val="24"/>
            <w:lang w:eastAsia="en-US"/>
          </w:rPr>
          <w:t>Santa Fé do Araguaia</w:t>
        </w:r>
      </w:hyperlink>
      <w:r w:rsidRPr="006A4EE4">
        <w:rPr>
          <w:rFonts w:ascii="Arial" w:eastAsia="Calibri" w:hAnsi="Arial" w:cs="Arial"/>
          <w:sz w:val="24"/>
          <w:szCs w:val="24"/>
          <w:lang w:eastAsia="en-US"/>
        </w:rPr>
        <w:t xml:space="preserve">, </w:t>
      </w:r>
      <w:hyperlink r:id="rId69" w:history="1">
        <w:r w:rsidRPr="006A4EE4">
          <w:rPr>
            <w:rFonts w:ascii="Arial" w:eastAsia="Calibri" w:hAnsi="Arial" w:cs="Arial"/>
            <w:sz w:val="24"/>
            <w:szCs w:val="24"/>
            <w:lang w:eastAsia="en-US"/>
          </w:rPr>
          <w:t>Santa Maria do Tocantins</w:t>
        </w:r>
      </w:hyperlink>
      <w:r w:rsidRPr="006A4EE4">
        <w:rPr>
          <w:rFonts w:ascii="Arial" w:eastAsia="Calibri" w:hAnsi="Arial" w:cs="Arial"/>
          <w:sz w:val="24"/>
          <w:szCs w:val="24"/>
          <w:lang w:eastAsia="en-US"/>
        </w:rPr>
        <w:t xml:space="preserve">, Santa Teresinha do Tocantins, </w:t>
      </w:r>
      <w:hyperlink r:id="rId70" w:history="1">
        <w:r w:rsidRPr="006A4EE4">
          <w:rPr>
            <w:rFonts w:ascii="Arial" w:eastAsia="Calibri" w:hAnsi="Arial" w:cs="Arial"/>
            <w:sz w:val="24"/>
            <w:szCs w:val="24"/>
            <w:lang w:eastAsia="en-US"/>
          </w:rPr>
          <w:t>São Bento do Tocantins</w:t>
        </w:r>
      </w:hyperlink>
      <w:r w:rsidRPr="006A4EE4">
        <w:rPr>
          <w:rFonts w:ascii="Arial" w:eastAsia="Calibri" w:hAnsi="Arial" w:cs="Arial"/>
          <w:sz w:val="24"/>
          <w:szCs w:val="24"/>
          <w:lang w:eastAsia="en-US"/>
        </w:rPr>
        <w:t xml:space="preserve">, </w:t>
      </w:r>
      <w:hyperlink r:id="rId71" w:history="1">
        <w:r w:rsidRPr="006A4EE4">
          <w:rPr>
            <w:rFonts w:ascii="Arial" w:eastAsia="Calibri" w:hAnsi="Arial" w:cs="Arial"/>
            <w:sz w:val="24"/>
            <w:szCs w:val="24"/>
            <w:lang w:eastAsia="en-US"/>
          </w:rPr>
          <w:t>São Miguel do Tocantins</w:t>
        </w:r>
      </w:hyperlink>
      <w:r w:rsidRPr="006A4EE4">
        <w:rPr>
          <w:rFonts w:ascii="Arial" w:eastAsia="Calibri" w:hAnsi="Arial" w:cs="Arial"/>
          <w:sz w:val="24"/>
          <w:szCs w:val="24"/>
          <w:lang w:eastAsia="en-US"/>
        </w:rPr>
        <w:t xml:space="preserve">, </w:t>
      </w:r>
      <w:hyperlink r:id="rId72" w:history="1">
        <w:r w:rsidRPr="006A4EE4">
          <w:rPr>
            <w:rFonts w:ascii="Arial" w:eastAsia="Calibri" w:hAnsi="Arial" w:cs="Arial"/>
            <w:sz w:val="24"/>
            <w:szCs w:val="24"/>
            <w:lang w:eastAsia="en-US"/>
          </w:rPr>
          <w:t>São Sebastião do Tocantins</w:t>
        </w:r>
      </w:hyperlink>
      <w:r w:rsidRPr="006A4EE4">
        <w:rPr>
          <w:rFonts w:ascii="Arial" w:eastAsia="Calibri" w:hAnsi="Arial" w:cs="Arial"/>
          <w:sz w:val="24"/>
          <w:szCs w:val="24"/>
          <w:lang w:eastAsia="en-US"/>
        </w:rPr>
        <w:t xml:space="preserve">, </w:t>
      </w:r>
      <w:hyperlink r:id="rId73" w:history="1">
        <w:r w:rsidRPr="006A4EE4">
          <w:rPr>
            <w:rFonts w:ascii="Arial" w:eastAsia="Calibri" w:hAnsi="Arial" w:cs="Arial"/>
            <w:sz w:val="24"/>
            <w:szCs w:val="24"/>
            <w:lang w:eastAsia="en-US"/>
          </w:rPr>
          <w:t>Sítio Novo do Tocantins</w:t>
        </w:r>
      </w:hyperlink>
      <w:r w:rsidRPr="006A4EE4">
        <w:rPr>
          <w:rFonts w:ascii="Arial" w:eastAsia="Calibri" w:hAnsi="Arial" w:cs="Arial"/>
          <w:sz w:val="24"/>
          <w:szCs w:val="24"/>
          <w:lang w:eastAsia="en-US"/>
        </w:rPr>
        <w:t xml:space="preserve">, </w:t>
      </w:r>
      <w:hyperlink r:id="rId74" w:history="1">
        <w:r w:rsidRPr="006A4EE4">
          <w:rPr>
            <w:rFonts w:ascii="Arial" w:eastAsia="Calibri" w:hAnsi="Arial" w:cs="Arial"/>
            <w:sz w:val="24"/>
            <w:szCs w:val="24"/>
            <w:lang w:eastAsia="en-US"/>
          </w:rPr>
          <w:t>Tocantinópolis</w:t>
        </w:r>
      </w:hyperlink>
      <w:r w:rsidRPr="006A4EE4">
        <w:rPr>
          <w:rFonts w:ascii="Arial" w:eastAsia="Calibri" w:hAnsi="Arial" w:cs="Arial"/>
          <w:sz w:val="24"/>
          <w:szCs w:val="24"/>
          <w:lang w:eastAsia="en-US"/>
        </w:rPr>
        <w:t xml:space="preserve">, </w:t>
      </w:r>
      <w:hyperlink r:id="rId75" w:history="1">
        <w:r w:rsidRPr="006A4EE4">
          <w:rPr>
            <w:rFonts w:ascii="Arial" w:eastAsia="Calibri" w:hAnsi="Arial" w:cs="Arial"/>
            <w:sz w:val="24"/>
            <w:szCs w:val="24"/>
            <w:lang w:eastAsia="en-US"/>
          </w:rPr>
          <w:t>Tupirama</w:t>
        </w:r>
      </w:hyperlink>
      <w:r w:rsidRPr="006A4EE4">
        <w:rPr>
          <w:rFonts w:ascii="Arial" w:eastAsia="Calibri" w:hAnsi="Arial" w:cs="Arial"/>
          <w:sz w:val="24"/>
          <w:szCs w:val="24"/>
          <w:lang w:eastAsia="en-US"/>
        </w:rPr>
        <w:t xml:space="preserve">, </w:t>
      </w:r>
      <w:hyperlink r:id="rId76" w:history="1">
        <w:r w:rsidRPr="006A4EE4">
          <w:rPr>
            <w:rFonts w:ascii="Arial" w:eastAsia="Calibri" w:hAnsi="Arial" w:cs="Arial"/>
            <w:sz w:val="24"/>
            <w:szCs w:val="24"/>
            <w:lang w:eastAsia="en-US"/>
          </w:rPr>
          <w:t>Tupiratins</w:t>
        </w:r>
      </w:hyperlink>
      <w:r w:rsidRPr="006A4EE4">
        <w:rPr>
          <w:rFonts w:ascii="Arial" w:eastAsia="Calibri" w:hAnsi="Arial" w:cs="Arial"/>
          <w:sz w:val="24"/>
          <w:szCs w:val="24"/>
          <w:lang w:eastAsia="en-US"/>
        </w:rPr>
        <w:t xml:space="preserve">, </w:t>
      </w:r>
      <w:hyperlink r:id="rId77" w:history="1">
        <w:r w:rsidRPr="006A4EE4">
          <w:rPr>
            <w:rFonts w:ascii="Arial" w:eastAsia="Calibri" w:hAnsi="Arial" w:cs="Arial"/>
            <w:sz w:val="24"/>
            <w:szCs w:val="24"/>
            <w:lang w:eastAsia="en-US"/>
          </w:rPr>
          <w:t>Wanderlândia</w:t>
        </w:r>
      </w:hyperlink>
      <w:r w:rsidRPr="006A4EE4">
        <w:rPr>
          <w:rFonts w:ascii="Arial" w:eastAsia="Calibri" w:hAnsi="Arial" w:cs="Arial"/>
          <w:sz w:val="24"/>
          <w:szCs w:val="24"/>
          <w:lang w:eastAsia="en-US"/>
        </w:rPr>
        <w:t xml:space="preserve"> e </w:t>
      </w:r>
      <w:hyperlink r:id="rId78" w:history="1">
        <w:r w:rsidRPr="006A4EE4">
          <w:rPr>
            <w:rFonts w:ascii="Arial" w:eastAsia="Calibri" w:hAnsi="Arial" w:cs="Arial"/>
            <w:sz w:val="24"/>
            <w:szCs w:val="24"/>
            <w:lang w:eastAsia="en-US"/>
          </w:rPr>
          <w:t>Xambioá</w:t>
        </w:r>
      </w:hyperlink>
      <w:r w:rsidRPr="006A4EE4">
        <w:rPr>
          <w:rFonts w:ascii="Arial" w:eastAsia="Calibri" w:hAnsi="Arial" w:cs="Arial"/>
          <w:sz w:val="24"/>
          <w:szCs w:val="24"/>
          <w:lang w:eastAsia="en-US"/>
        </w:rPr>
        <w:t>.</w:t>
      </w: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bookmarkStart w:id="1" w:name="_GoBack"/>
    </w:p>
    <w:bookmarkEnd w:id="1"/>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Pr="003C5C7D" w:rsidRDefault="006A4EE4" w:rsidP="006A4EE4">
      <w:pPr>
        <w:rPr>
          <w:rFonts w:ascii="Arial" w:hAnsi="Arial" w:cs="Arial"/>
          <w:b/>
          <w:sz w:val="24"/>
          <w:szCs w:val="24"/>
        </w:rPr>
      </w:pPr>
      <w:r>
        <w:rPr>
          <w:rFonts w:ascii="Arial" w:hAnsi="Arial" w:cs="Arial"/>
          <w:b/>
          <w:sz w:val="24"/>
          <w:szCs w:val="24"/>
        </w:rPr>
        <w:t>2.1. Á</w:t>
      </w:r>
      <w:r w:rsidRPr="003C5C7D">
        <w:rPr>
          <w:rFonts w:ascii="Arial" w:hAnsi="Arial" w:cs="Arial"/>
          <w:b/>
          <w:sz w:val="24"/>
          <w:szCs w:val="24"/>
        </w:rPr>
        <w:t>REA DE ABRANGÊNCIA DOS ESTUDOS</w:t>
      </w:r>
    </w:p>
    <w:p w:rsidR="006A4EE4" w:rsidRPr="003C5C7D" w:rsidRDefault="00C3698A" w:rsidP="006A4EE4">
      <w:pPr>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1655680" behindDoc="0" locked="0" layoutInCell="1" allowOverlap="1">
            <wp:simplePos x="0" y="0"/>
            <wp:positionH relativeFrom="margin">
              <wp:posOffset>537845</wp:posOffset>
            </wp:positionH>
            <wp:positionV relativeFrom="margin">
              <wp:posOffset>381635</wp:posOffset>
            </wp:positionV>
            <wp:extent cx="4324350" cy="6677660"/>
            <wp:effectExtent l="19050" t="0" r="0" b="0"/>
            <wp:wrapSquare wrapText="bothSides"/>
            <wp:docPr id="3" name="Imagem 0" descr="Mapa_Hidroge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Mapa_Hidrogeologia.jpg"/>
                    <pic:cNvPicPr>
                      <a:picLocks noChangeAspect="1" noChangeArrowheads="1"/>
                    </pic:cNvPicPr>
                  </pic:nvPicPr>
                  <pic:blipFill>
                    <a:blip r:embed="rId79" cstate="print"/>
                    <a:srcRect/>
                    <a:stretch>
                      <a:fillRect/>
                    </a:stretch>
                  </pic:blipFill>
                  <pic:spPr bwMode="auto">
                    <a:xfrm>
                      <a:off x="0" y="0"/>
                      <a:ext cx="4324350" cy="6677660"/>
                    </a:xfrm>
                    <a:prstGeom prst="rect">
                      <a:avLst/>
                    </a:prstGeom>
                    <a:noFill/>
                    <a:ln w="9525">
                      <a:noFill/>
                      <a:miter lim="800000"/>
                      <a:headEnd/>
                      <a:tailEnd/>
                    </a:ln>
                  </pic:spPr>
                </pic:pic>
              </a:graphicData>
            </a:graphic>
          </wp:anchor>
        </w:drawing>
      </w:r>
    </w:p>
    <w:p w:rsidR="006A4EE4" w:rsidRPr="003C5C7D" w:rsidRDefault="009C6FB4" w:rsidP="006A4EE4">
      <w:pPr>
        <w:rPr>
          <w:rFonts w:ascii="Arial" w:hAnsi="Arial" w:cs="Arial"/>
          <w:b/>
          <w:sz w:val="24"/>
          <w:szCs w:val="24"/>
        </w:rPr>
      </w:pPr>
      <w:r>
        <w:rPr>
          <w:rFonts w:ascii="Arial" w:hAnsi="Arial" w:cs="Arial"/>
          <w:noProof/>
          <w:sz w:val="24"/>
          <w:szCs w:val="24"/>
          <w:lang w:eastAsia="pt-BR"/>
        </w:rPr>
        <mc:AlternateContent>
          <mc:Choice Requires="wps">
            <w:drawing>
              <wp:anchor distT="0" distB="0" distL="114300" distR="114300" simplePos="0" relativeHeight="251656704" behindDoc="0" locked="0" layoutInCell="1" allowOverlap="1">
                <wp:simplePos x="0" y="0"/>
                <wp:positionH relativeFrom="column">
                  <wp:posOffset>643890</wp:posOffset>
                </wp:positionH>
                <wp:positionV relativeFrom="paragraph">
                  <wp:posOffset>6405245</wp:posOffset>
                </wp:positionV>
                <wp:extent cx="1895475" cy="295275"/>
                <wp:effectExtent l="0" t="0" r="28575" b="2857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5275"/>
                        </a:xfrm>
                        <a:prstGeom prst="rect">
                          <a:avLst/>
                        </a:prstGeom>
                        <a:solidFill>
                          <a:srgbClr val="FFFFFF"/>
                        </a:solidFill>
                        <a:ln w="9525">
                          <a:solidFill>
                            <a:srgbClr val="FFFFFF"/>
                          </a:solidFill>
                          <a:miter lim="800000"/>
                          <a:headEnd/>
                          <a:tailEnd/>
                        </a:ln>
                      </wps:spPr>
                      <wps:txbx>
                        <w:txbxContent>
                          <w:p w:rsidR="006A4EE4" w:rsidRPr="00FD5039" w:rsidRDefault="006A4EE4" w:rsidP="006A4EE4">
                            <w:pPr>
                              <w:rPr>
                                <w:rFonts w:ascii="Arial" w:hAnsi="Arial" w:cs="Arial"/>
                              </w:rPr>
                            </w:pPr>
                            <w:r w:rsidRPr="006B4B1E">
                              <w:rPr>
                                <w:rFonts w:ascii="Arial" w:hAnsi="Arial" w:cs="Arial"/>
                                <w:b/>
                              </w:rPr>
                              <w:t>Fonte</w:t>
                            </w:r>
                            <w:r w:rsidRPr="00FD5039">
                              <w:rPr>
                                <w:rFonts w:ascii="Arial" w:hAnsi="Arial" w:cs="Arial"/>
                              </w:rPr>
                              <w:t>: SEPLAN,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0.7pt;margin-top:504.35pt;width:149.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" strokecolor="white">
                <v:textbox>
                  <w:txbxContent>
                    <w:p w:rsidR="006A4EE4" w:rsidRPr="00FD5039" w:rsidRDefault="006A4EE4" w:rsidP="006A4EE4">
                      <w:pPr>
                        <w:rPr>
                          <w:rFonts w:ascii="Arial" w:hAnsi="Arial" w:cs="Arial"/>
                        </w:rPr>
                      </w:pPr>
                      <w:r w:rsidRPr="006B4B1E">
                        <w:rPr>
                          <w:rFonts w:ascii="Arial" w:hAnsi="Arial" w:cs="Arial"/>
                          <w:b/>
                        </w:rPr>
                        <w:t>Fonte</w:t>
                      </w:r>
                      <w:r w:rsidRPr="00FD5039">
                        <w:rPr>
                          <w:rFonts w:ascii="Arial" w:hAnsi="Arial" w:cs="Arial"/>
                        </w:rPr>
                        <w:t>: SEPLAN, 2012.</w:t>
                      </w:r>
                    </w:p>
                  </w:txbxContent>
                </v:textbox>
              </v:shape>
            </w:pict>
          </mc:Fallback>
        </mc:AlternateContent>
      </w:r>
      <w:r w:rsidR="006A4EE4">
        <w:rPr>
          <w:rFonts w:ascii="Arial" w:hAnsi="Arial" w:cs="Arial"/>
          <w:b/>
          <w:sz w:val="24"/>
          <w:szCs w:val="24"/>
        </w:rPr>
        <w:br w:type="page"/>
      </w:r>
      <w:r w:rsidR="006A4EE4" w:rsidRPr="003C5C7D">
        <w:rPr>
          <w:rFonts w:ascii="Arial" w:hAnsi="Arial" w:cs="Arial"/>
          <w:b/>
          <w:sz w:val="24"/>
          <w:szCs w:val="24"/>
        </w:rPr>
        <w:lastRenderedPageBreak/>
        <w:t>3. OBJETIVO</w:t>
      </w:r>
      <w:r w:rsidR="006A4EE4">
        <w:rPr>
          <w:rFonts w:ascii="Arial" w:hAnsi="Arial" w:cs="Arial"/>
          <w:b/>
          <w:sz w:val="24"/>
          <w:szCs w:val="24"/>
        </w:rPr>
        <w:t>S</w:t>
      </w:r>
    </w:p>
    <w:p w:rsidR="006A4EE4" w:rsidRPr="003C5C7D" w:rsidRDefault="006A4EE4" w:rsidP="006A4EE4">
      <w:pPr>
        <w:rPr>
          <w:rFonts w:ascii="Arial" w:hAnsi="Arial" w:cs="Arial"/>
          <w:b/>
          <w:sz w:val="24"/>
          <w:szCs w:val="24"/>
        </w:rPr>
      </w:pPr>
      <w:r w:rsidRPr="003C5C7D">
        <w:rPr>
          <w:rFonts w:ascii="Arial" w:hAnsi="Arial" w:cs="Arial"/>
          <w:b/>
          <w:sz w:val="24"/>
          <w:szCs w:val="24"/>
        </w:rPr>
        <w:t>3.1</w:t>
      </w:r>
      <w:r>
        <w:rPr>
          <w:rFonts w:ascii="Arial" w:hAnsi="Arial" w:cs="Arial"/>
          <w:b/>
          <w:sz w:val="24"/>
          <w:szCs w:val="24"/>
        </w:rPr>
        <w:t>.</w:t>
      </w:r>
      <w:r w:rsidRPr="003C5C7D">
        <w:rPr>
          <w:rFonts w:ascii="Arial" w:hAnsi="Arial" w:cs="Arial"/>
          <w:b/>
          <w:sz w:val="24"/>
          <w:szCs w:val="24"/>
        </w:rPr>
        <w:t xml:space="preserve"> Geral</w:t>
      </w:r>
    </w:p>
    <w:p w:rsidR="006A4EE4" w:rsidRPr="003C5C7D" w:rsidRDefault="006A4EE4" w:rsidP="006A4EE4">
      <w:pPr>
        <w:widowControl w:val="0"/>
        <w:rPr>
          <w:rFonts w:ascii="Arial" w:hAnsi="Arial" w:cs="Arial"/>
          <w:sz w:val="24"/>
          <w:szCs w:val="24"/>
        </w:rPr>
      </w:pPr>
      <w:r w:rsidRPr="003C5C7D">
        <w:rPr>
          <w:rFonts w:ascii="Arial" w:hAnsi="Arial" w:cs="Arial"/>
          <w:sz w:val="24"/>
          <w:szCs w:val="24"/>
        </w:rPr>
        <w:t xml:space="preserve">O objetivo geral deste TDR é </w:t>
      </w:r>
      <w:r w:rsidRPr="003C5C7D">
        <w:rPr>
          <w:rFonts w:ascii="Arial" w:hAnsi="Arial" w:cs="Arial"/>
          <w:bCs/>
          <w:sz w:val="24"/>
          <w:szCs w:val="24"/>
        </w:rPr>
        <w:t xml:space="preserve">a contratação de serviços de consultoria especializada para a realização dos </w:t>
      </w:r>
      <w:r w:rsidRPr="003C5C7D">
        <w:rPr>
          <w:rFonts w:ascii="Arial" w:hAnsi="Arial" w:cs="Arial"/>
          <w:bCs/>
          <w:i/>
          <w:sz w:val="24"/>
          <w:szCs w:val="24"/>
        </w:rPr>
        <w:t xml:space="preserve">Estudos Hidrogeológicos da Região </w:t>
      </w:r>
      <w:r w:rsidRPr="003C5C7D">
        <w:rPr>
          <w:rFonts w:ascii="Arial" w:hAnsi="Arial" w:cs="Arial"/>
          <w:sz w:val="24"/>
          <w:szCs w:val="24"/>
        </w:rPr>
        <w:t>Centro-Norte do Estado do Tocantins, através da elaboração do mapa hidrogeológico, destacando, por aquífero, suas condições hidrogeológicas, vulnerabilidade, potencialidade, qualidade físico-química das águas subterrâneas e inventário dos poços</w:t>
      </w:r>
      <w:r w:rsidRPr="003C5C7D" w:rsidDel="00EF3F1D">
        <w:rPr>
          <w:rFonts w:ascii="Arial" w:hAnsi="Arial" w:cs="Arial"/>
          <w:sz w:val="24"/>
          <w:szCs w:val="24"/>
        </w:rPr>
        <w:t>,</w:t>
      </w:r>
      <w:r w:rsidRPr="003C5C7D">
        <w:rPr>
          <w:rFonts w:ascii="Arial" w:hAnsi="Arial" w:cs="Arial"/>
          <w:sz w:val="24"/>
          <w:szCs w:val="24"/>
        </w:rPr>
        <w:t xml:space="preserve"> subsidiando, dessa maneira, o Governo do Estado na elaboração de políticas públicas adequadas ao aproveitamento sustentável das águas subterrâneas da região objeto de estudo.</w:t>
      </w:r>
    </w:p>
    <w:p w:rsidR="006A4EE4" w:rsidRPr="00B22F42" w:rsidRDefault="006A4EE4" w:rsidP="006A4EE4">
      <w:pPr>
        <w:widowControl w:val="0"/>
        <w:rPr>
          <w:rFonts w:ascii="Arial" w:hAnsi="Arial" w:cs="Arial"/>
          <w:b/>
          <w:sz w:val="24"/>
          <w:szCs w:val="24"/>
        </w:rPr>
      </w:pPr>
      <w:r w:rsidRPr="00B22F42">
        <w:rPr>
          <w:rFonts w:ascii="Arial" w:hAnsi="Arial" w:cs="Arial"/>
          <w:b/>
          <w:sz w:val="24"/>
          <w:szCs w:val="24"/>
        </w:rPr>
        <w:t>3.2</w:t>
      </w:r>
      <w:r>
        <w:rPr>
          <w:rFonts w:ascii="Arial" w:hAnsi="Arial" w:cs="Arial"/>
          <w:b/>
          <w:sz w:val="24"/>
          <w:szCs w:val="24"/>
        </w:rPr>
        <w:t>.</w:t>
      </w:r>
      <w:r w:rsidRPr="00B22F42">
        <w:rPr>
          <w:rFonts w:ascii="Arial" w:hAnsi="Arial" w:cs="Arial"/>
          <w:b/>
          <w:sz w:val="24"/>
          <w:szCs w:val="24"/>
        </w:rPr>
        <w:t xml:space="preserve"> Objetivos específicos:</w:t>
      </w:r>
    </w:p>
    <w:p w:rsidR="006A4EE4" w:rsidRPr="003C5C7D" w:rsidRDefault="006A4EE4" w:rsidP="006A4EE4">
      <w:pPr>
        <w:widowControl w:val="0"/>
        <w:rPr>
          <w:rFonts w:ascii="Arial" w:hAnsi="Arial" w:cs="Arial"/>
          <w:bCs/>
          <w:sz w:val="24"/>
          <w:szCs w:val="24"/>
        </w:rPr>
      </w:pPr>
      <w:r w:rsidRPr="003C5C7D">
        <w:rPr>
          <w:rFonts w:ascii="Arial" w:hAnsi="Arial" w:cs="Arial"/>
          <w:bCs/>
          <w:sz w:val="24"/>
          <w:szCs w:val="24"/>
        </w:rPr>
        <w:t>Para atender o objetivo geral do trabalho é necessário o cumprimento de objetivos específicos que se consubstanciam em metas de desenvolvimento do projeto, conforme descrito a seguir:</w:t>
      </w:r>
    </w:p>
    <w:p w:rsidR="006A4EE4" w:rsidRPr="003C5C7D" w:rsidRDefault="006A4EE4" w:rsidP="00533722">
      <w:pPr>
        <w:pStyle w:val="PargrafodaLista"/>
        <w:numPr>
          <w:ilvl w:val="0"/>
          <w:numId w:val="4"/>
        </w:numPr>
        <w:spacing w:line="276" w:lineRule="auto"/>
        <w:rPr>
          <w:rFonts w:ascii="Arial" w:hAnsi="Arial" w:cs="Arial"/>
          <w:sz w:val="24"/>
          <w:szCs w:val="24"/>
        </w:rPr>
      </w:pPr>
      <w:r w:rsidRPr="003C5C7D">
        <w:rPr>
          <w:rFonts w:ascii="Arial" w:hAnsi="Arial" w:cs="Arial"/>
          <w:sz w:val="24"/>
          <w:szCs w:val="24"/>
        </w:rPr>
        <w:t>Avaliar o estado da arte na hidrogeologia, geomorfologia, geologia, hidrologia, hidrogeoquímica, geofísica, estudos socioeconômicos, de uso e ocupação da terra na região Centro- Norte objeto do estudo.</w:t>
      </w:r>
    </w:p>
    <w:p w:rsidR="006A4EE4" w:rsidRPr="003C5C7D" w:rsidRDefault="006A4EE4" w:rsidP="00533722">
      <w:pPr>
        <w:widowControl w:val="0"/>
        <w:numPr>
          <w:ilvl w:val="0"/>
          <w:numId w:val="4"/>
        </w:numPr>
        <w:spacing w:line="276" w:lineRule="auto"/>
        <w:jc w:val="both"/>
        <w:rPr>
          <w:rFonts w:ascii="Arial" w:hAnsi="Arial" w:cs="Arial"/>
          <w:sz w:val="24"/>
          <w:szCs w:val="24"/>
        </w:rPr>
      </w:pPr>
      <w:r w:rsidRPr="003C5C7D">
        <w:rPr>
          <w:rFonts w:ascii="Arial" w:hAnsi="Arial" w:cs="Arial"/>
          <w:sz w:val="24"/>
          <w:szCs w:val="24"/>
        </w:rPr>
        <w:t>Realizar o cadastramento dos poços de captação de água, identificando, sempre que possível</w:t>
      </w:r>
      <w:r>
        <w:rPr>
          <w:rFonts w:ascii="Arial" w:hAnsi="Arial" w:cs="Arial"/>
          <w:sz w:val="24"/>
          <w:szCs w:val="24"/>
        </w:rPr>
        <w:t>,</w:t>
      </w:r>
      <w:r w:rsidRPr="003C5C7D">
        <w:rPr>
          <w:rFonts w:ascii="Arial" w:hAnsi="Arial" w:cs="Arial"/>
          <w:sz w:val="24"/>
          <w:szCs w:val="24"/>
        </w:rPr>
        <w:t xml:space="preserve"> informações de caráter construtivo, vazão de explotação, aquíferos captados, níveis estático e dinâmico, qualidade química e usos da água, tipo e capacidade da bomba instalada, regime de bombeamento e observar se o uso da água do poço está outorgado;</w:t>
      </w:r>
    </w:p>
    <w:p w:rsidR="006A4EE4" w:rsidRPr="003C5C7D" w:rsidRDefault="006A4EE4" w:rsidP="00533722">
      <w:pPr>
        <w:widowControl w:val="0"/>
        <w:numPr>
          <w:ilvl w:val="0"/>
          <w:numId w:val="4"/>
        </w:numPr>
        <w:spacing w:line="276" w:lineRule="auto"/>
        <w:jc w:val="both"/>
        <w:rPr>
          <w:rFonts w:ascii="Arial" w:hAnsi="Arial" w:cs="Arial"/>
          <w:sz w:val="24"/>
          <w:szCs w:val="24"/>
        </w:rPr>
      </w:pPr>
      <w:r w:rsidRPr="003C5C7D">
        <w:rPr>
          <w:rFonts w:ascii="Arial" w:hAnsi="Arial" w:cs="Arial"/>
          <w:sz w:val="24"/>
          <w:szCs w:val="24"/>
        </w:rPr>
        <w:t>Fornecer subsídios para a construção de poços futuros, conforme objetivos e áreas de localização, com melhor performance na relação custo/benefício;</w:t>
      </w:r>
    </w:p>
    <w:p w:rsidR="006A4EE4" w:rsidRPr="003C5C7D" w:rsidRDefault="006A4EE4" w:rsidP="00533722">
      <w:pPr>
        <w:widowControl w:val="0"/>
        <w:numPr>
          <w:ilvl w:val="0"/>
          <w:numId w:val="4"/>
        </w:numPr>
        <w:spacing w:line="276" w:lineRule="auto"/>
        <w:jc w:val="both"/>
        <w:rPr>
          <w:rFonts w:ascii="Arial" w:hAnsi="Arial" w:cs="Arial"/>
          <w:sz w:val="24"/>
          <w:szCs w:val="24"/>
        </w:rPr>
      </w:pPr>
      <w:r w:rsidRPr="003C5C7D">
        <w:rPr>
          <w:rFonts w:ascii="Arial" w:hAnsi="Arial" w:cs="Arial"/>
          <w:sz w:val="24"/>
          <w:szCs w:val="24"/>
        </w:rPr>
        <w:t>Delinear a distribuição espacial das diversas unidades estratigráficas com vistas à sua importância hidrogeológica relativa no estado do Tocantins, identificando a potencialidade dos aquíferos;</w:t>
      </w:r>
    </w:p>
    <w:p w:rsidR="006A4EE4" w:rsidRPr="003C5C7D" w:rsidRDefault="006A4EE4" w:rsidP="00533722">
      <w:pPr>
        <w:widowControl w:val="0"/>
        <w:numPr>
          <w:ilvl w:val="0"/>
          <w:numId w:val="4"/>
        </w:numPr>
        <w:spacing w:line="276" w:lineRule="auto"/>
        <w:jc w:val="both"/>
        <w:rPr>
          <w:rFonts w:ascii="Arial" w:hAnsi="Arial" w:cs="Arial"/>
          <w:sz w:val="24"/>
          <w:szCs w:val="24"/>
        </w:rPr>
      </w:pPr>
      <w:r w:rsidRPr="003C5C7D">
        <w:rPr>
          <w:rFonts w:ascii="Arial" w:hAnsi="Arial" w:cs="Arial"/>
          <w:sz w:val="24"/>
          <w:szCs w:val="24"/>
        </w:rPr>
        <w:t>Estabelecer as disponibilidades e demandas das águas subterrâneas (situação atual da exploração de água subterrânea por aquífero) e projetar a demanda para 25 anos;</w:t>
      </w:r>
    </w:p>
    <w:p w:rsidR="006A4EE4" w:rsidRPr="003C5C7D" w:rsidRDefault="006A4EE4" w:rsidP="00533722">
      <w:pPr>
        <w:widowControl w:val="0"/>
        <w:numPr>
          <w:ilvl w:val="0"/>
          <w:numId w:val="4"/>
        </w:numPr>
        <w:spacing w:line="276" w:lineRule="auto"/>
        <w:jc w:val="both"/>
        <w:rPr>
          <w:rFonts w:ascii="Arial" w:hAnsi="Arial" w:cs="Arial"/>
          <w:sz w:val="24"/>
          <w:szCs w:val="24"/>
        </w:rPr>
      </w:pPr>
      <w:r>
        <w:rPr>
          <w:rFonts w:ascii="Arial" w:hAnsi="Arial" w:cs="Arial"/>
          <w:sz w:val="24"/>
          <w:szCs w:val="24"/>
        </w:rPr>
        <w:t>Determinar</w:t>
      </w:r>
      <w:r w:rsidRPr="003C5C7D">
        <w:rPr>
          <w:rFonts w:ascii="Arial" w:hAnsi="Arial" w:cs="Arial"/>
          <w:sz w:val="24"/>
          <w:szCs w:val="24"/>
        </w:rPr>
        <w:t xml:space="preserve"> as áreas críticas em termos de quantidade e/ou qualidade e aquelas de uso restrito (naturais ou antrópicos);</w:t>
      </w:r>
    </w:p>
    <w:p w:rsidR="006A4EE4" w:rsidRPr="003C5C7D" w:rsidRDefault="006A4EE4" w:rsidP="00533722">
      <w:pPr>
        <w:widowControl w:val="0"/>
        <w:numPr>
          <w:ilvl w:val="0"/>
          <w:numId w:val="4"/>
        </w:numPr>
        <w:spacing w:line="276" w:lineRule="auto"/>
        <w:jc w:val="both"/>
        <w:rPr>
          <w:rFonts w:ascii="Arial" w:hAnsi="Arial" w:cs="Arial"/>
          <w:sz w:val="24"/>
          <w:szCs w:val="24"/>
        </w:rPr>
      </w:pPr>
      <w:r w:rsidRPr="003C5C7D">
        <w:rPr>
          <w:rFonts w:ascii="Arial" w:hAnsi="Arial" w:cs="Arial"/>
          <w:sz w:val="24"/>
          <w:szCs w:val="24"/>
        </w:rPr>
        <w:t>Caracterizar hidroquimicamente as águas subterrâneas por aquífero, com base em análises químicas e em diagramas hidroquímicos específicos;</w:t>
      </w:r>
    </w:p>
    <w:p w:rsidR="006A4EE4" w:rsidRPr="003C5C7D" w:rsidRDefault="006A4EE4" w:rsidP="00533722">
      <w:pPr>
        <w:widowControl w:val="0"/>
        <w:numPr>
          <w:ilvl w:val="0"/>
          <w:numId w:val="4"/>
        </w:numPr>
        <w:spacing w:line="276" w:lineRule="auto"/>
        <w:jc w:val="both"/>
        <w:rPr>
          <w:rFonts w:ascii="Arial" w:hAnsi="Arial" w:cs="Arial"/>
          <w:sz w:val="24"/>
          <w:szCs w:val="24"/>
        </w:rPr>
      </w:pPr>
      <w:r w:rsidRPr="003C5C7D">
        <w:rPr>
          <w:rFonts w:ascii="Arial" w:hAnsi="Arial" w:cs="Arial"/>
          <w:sz w:val="24"/>
          <w:szCs w:val="24"/>
        </w:rPr>
        <w:t>Estabelecer as relações existentes entre as águas superficiais e subterrâneas (interação rio x aquífero);</w:t>
      </w:r>
    </w:p>
    <w:p w:rsidR="006A4EE4" w:rsidRPr="003C5C7D" w:rsidRDefault="006A4EE4" w:rsidP="00533722">
      <w:pPr>
        <w:widowControl w:val="0"/>
        <w:numPr>
          <w:ilvl w:val="0"/>
          <w:numId w:val="4"/>
        </w:numPr>
        <w:spacing w:line="276" w:lineRule="auto"/>
        <w:jc w:val="both"/>
        <w:rPr>
          <w:rFonts w:ascii="Arial" w:hAnsi="Arial" w:cs="Arial"/>
          <w:sz w:val="24"/>
          <w:szCs w:val="24"/>
        </w:rPr>
      </w:pPr>
      <w:r w:rsidRPr="003C5C7D">
        <w:rPr>
          <w:rFonts w:ascii="Arial" w:hAnsi="Arial" w:cs="Arial"/>
          <w:sz w:val="24"/>
          <w:szCs w:val="24"/>
        </w:rPr>
        <w:t>Obter séries de vazões dos rios na área de estudo e elaborar hidrogramas, após consistência das séries históricas disponíveis;</w:t>
      </w:r>
    </w:p>
    <w:p w:rsidR="006A4EE4" w:rsidRPr="003C5C7D" w:rsidRDefault="006A4EE4" w:rsidP="00533722">
      <w:pPr>
        <w:widowControl w:val="0"/>
        <w:numPr>
          <w:ilvl w:val="0"/>
          <w:numId w:val="4"/>
        </w:numPr>
        <w:spacing w:line="276" w:lineRule="auto"/>
        <w:jc w:val="both"/>
        <w:rPr>
          <w:rFonts w:ascii="Arial" w:hAnsi="Arial" w:cs="Arial"/>
          <w:sz w:val="24"/>
          <w:szCs w:val="24"/>
        </w:rPr>
      </w:pPr>
      <w:r w:rsidRPr="003C5C7D">
        <w:rPr>
          <w:rFonts w:ascii="Arial" w:hAnsi="Arial" w:cs="Arial"/>
          <w:sz w:val="24"/>
          <w:szCs w:val="24"/>
        </w:rPr>
        <w:t>Estimar as descargas de base (fluxos basais) através do balanço hídrico ou através da separação do fluxo de base nos hidrogramas, quando possível;</w:t>
      </w:r>
    </w:p>
    <w:p w:rsidR="006A4EE4" w:rsidRDefault="006A4EE4" w:rsidP="00533722">
      <w:pPr>
        <w:widowControl w:val="0"/>
        <w:numPr>
          <w:ilvl w:val="0"/>
          <w:numId w:val="4"/>
        </w:numPr>
        <w:spacing w:line="276" w:lineRule="auto"/>
        <w:jc w:val="both"/>
        <w:rPr>
          <w:rFonts w:ascii="Arial" w:hAnsi="Arial" w:cs="Arial"/>
          <w:sz w:val="24"/>
          <w:szCs w:val="24"/>
        </w:rPr>
      </w:pPr>
      <w:r>
        <w:rPr>
          <w:rFonts w:ascii="Arial" w:hAnsi="Arial" w:cs="Arial"/>
          <w:sz w:val="24"/>
          <w:szCs w:val="24"/>
        </w:rPr>
        <w:t>O</w:t>
      </w:r>
      <w:r w:rsidRPr="003C5C7D">
        <w:rPr>
          <w:rFonts w:ascii="Arial" w:hAnsi="Arial" w:cs="Arial"/>
          <w:sz w:val="24"/>
          <w:szCs w:val="24"/>
        </w:rPr>
        <w:t>bter dados que sirvam de subsídio à análise de processos de outorga e licencia</w:t>
      </w:r>
      <w:r>
        <w:rPr>
          <w:rFonts w:ascii="Arial" w:hAnsi="Arial" w:cs="Arial"/>
          <w:sz w:val="24"/>
          <w:szCs w:val="24"/>
        </w:rPr>
        <w:t xml:space="preserve">mento </w:t>
      </w:r>
      <w:r w:rsidRPr="003C5C7D">
        <w:rPr>
          <w:rFonts w:ascii="Arial" w:hAnsi="Arial" w:cs="Arial"/>
          <w:sz w:val="24"/>
          <w:szCs w:val="24"/>
        </w:rPr>
        <w:t>ambiental de empreendimentos que utilizem águas subterrâneas ou apresentem p</w:t>
      </w:r>
      <w:r>
        <w:rPr>
          <w:rFonts w:ascii="Arial" w:hAnsi="Arial" w:cs="Arial"/>
          <w:sz w:val="24"/>
          <w:szCs w:val="24"/>
        </w:rPr>
        <w:t>otencialidade de contaminá-las.</w:t>
      </w:r>
    </w:p>
    <w:p w:rsidR="006A4EE4" w:rsidRPr="003C5C7D" w:rsidRDefault="006A4EE4" w:rsidP="006A4EE4">
      <w:pPr>
        <w:rPr>
          <w:rFonts w:ascii="Arial" w:hAnsi="Arial" w:cs="Arial"/>
          <w:b/>
          <w:sz w:val="24"/>
          <w:szCs w:val="24"/>
        </w:rPr>
      </w:pPr>
    </w:p>
    <w:p w:rsidR="006A4EE4" w:rsidRPr="003C5C7D" w:rsidRDefault="006A4EE4" w:rsidP="006A4EE4">
      <w:pPr>
        <w:rPr>
          <w:rFonts w:ascii="Arial" w:hAnsi="Arial" w:cs="Arial"/>
          <w:b/>
          <w:sz w:val="24"/>
          <w:szCs w:val="24"/>
        </w:rPr>
      </w:pPr>
      <w:r w:rsidRPr="003C5C7D">
        <w:rPr>
          <w:rFonts w:ascii="Arial" w:hAnsi="Arial" w:cs="Arial"/>
          <w:b/>
          <w:sz w:val="24"/>
          <w:szCs w:val="24"/>
        </w:rPr>
        <w:t>4. ATIVIDADES A SEREM DESENVOLVIDAS</w:t>
      </w:r>
    </w:p>
    <w:p w:rsidR="006A4EE4" w:rsidRPr="003C5C7D" w:rsidRDefault="006A4EE4" w:rsidP="006A4EE4">
      <w:pPr>
        <w:pStyle w:val="Recuodecorpodetexto"/>
        <w:ind w:left="0"/>
        <w:rPr>
          <w:rFonts w:ascii="Arial" w:hAnsi="Arial" w:cs="Arial"/>
          <w:b/>
          <w:bCs/>
          <w:sz w:val="24"/>
          <w:szCs w:val="24"/>
        </w:rPr>
      </w:pPr>
      <w:r w:rsidRPr="003C5C7D">
        <w:rPr>
          <w:rFonts w:ascii="Arial" w:hAnsi="Arial" w:cs="Arial"/>
          <w:b/>
          <w:bCs/>
          <w:sz w:val="24"/>
          <w:szCs w:val="24"/>
        </w:rPr>
        <w:lastRenderedPageBreak/>
        <w:t>4.1. Levantamento e Sistematização dos Dados, Informações e Estudos Existentes.</w:t>
      </w:r>
    </w:p>
    <w:p w:rsidR="006A4EE4" w:rsidRPr="003C5C7D" w:rsidRDefault="006A4EE4" w:rsidP="001658DC">
      <w:pPr>
        <w:jc w:val="both"/>
        <w:rPr>
          <w:rFonts w:ascii="Arial" w:hAnsi="Arial" w:cs="Arial"/>
          <w:sz w:val="24"/>
          <w:szCs w:val="24"/>
        </w:rPr>
      </w:pPr>
      <w:r w:rsidRPr="003C5C7D">
        <w:rPr>
          <w:rFonts w:ascii="Arial" w:hAnsi="Arial" w:cs="Arial"/>
          <w:sz w:val="24"/>
          <w:szCs w:val="24"/>
        </w:rPr>
        <w:t>A etapa inicial dos serviços compreende um levantamento de informações secundárias junto aos órgãos públicos federais, estaduais e municipais, como a CPRM, DNPM, Universidades, Secretarias de Estado, Órgãos gestores, Empresas de perfuração de poços, dentre outros.</w:t>
      </w:r>
    </w:p>
    <w:p w:rsidR="006A4EE4" w:rsidRPr="003C5C7D" w:rsidRDefault="006A4EE4" w:rsidP="001658DC">
      <w:pPr>
        <w:jc w:val="both"/>
        <w:rPr>
          <w:rFonts w:ascii="Arial" w:hAnsi="Arial" w:cs="Arial"/>
          <w:sz w:val="24"/>
          <w:szCs w:val="24"/>
        </w:rPr>
      </w:pPr>
      <w:r w:rsidRPr="003C5C7D">
        <w:rPr>
          <w:rFonts w:ascii="Arial" w:hAnsi="Arial" w:cs="Arial"/>
          <w:sz w:val="24"/>
          <w:szCs w:val="24"/>
        </w:rPr>
        <w:t>Deverão ser desenvolvidas atividades referentes à coleta, organização, tratamento e interpretação de dados, informações e conhecimento existentes sobre o tema, contemplando, no mínimo:</w:t>
      </w:r>
    </w:p>
    <w:p w:rsidR="006A4EE4" w:rsidRPr="003C5C7D" w:rsidRDefault="006A4EE4" w:rsidP="00533722">
      <w:pPr>
        <w:numPr>
          <w:ilvl w:val="0"/>
          <w:numId w:val="3"/>
        </w:numPr>
        <w:tabs>
          <w:tab w:val="clear" w:pos="1428"/>
          <w:tab w:val="num" w:pos="709"/>
        </w:tabs>
        <w:ind w:left="993" w:hanging="284"/>
        <w:jc w:val="both"/>
        <w:rPr>
          <w:rFonts w:ascii="Arial" w:hAnsi="Arial" w:cs="Arial"/>
          <w:sz w:val="24"/>
          <w:szCs w:val="24"/>
        </w:rPr>
      </w:pPr>
      <w:r w:rsidRPr="003C5C7D">
        <w:rPr>
          <w:rFonts w:ascii="Arial" w:hAnsi="Arial" w:cs="Arial"/>
          <w:sz w:val="24"/>
          <w:szCs w:val="24"/>
        </w:rPr>
        <w:t>Consistência da informação;</w:t>
      </w:r>
    </w:p>
    <w:p w:rsidR="006A4EE4" w:rsidRPr="003C5C7D" w:rsidRDefault="006A4EE4" w:rsidP="00533722">
      <w:pPr>
        <w:numPr>
          <w:ilvl w:val="0"/>
          <w:numId w:val="3"/>
        </w:numPr>
        <w:tabs>
          <w:tab w:val="clear" w:pos="1428"/>
          <w:tab w:val="num" w:pos="709"/>
        </w:tabs>
        <w:ind w:left="993" w:hanging="284"/>
        <w:jc w:val="both"/>
        <w:rPr>
          <w:rFonts w:ascii="Arial" w:hAnsi="Arial" w:cs="Arial"/>
          <w:sz w:val="24"/>
          <w:szCs w:val="24"/>
        </w:rPr>
      </w:pPr>
      <w:r w:rsidRPr="003C5C7D">
        <w:rPr>
          <w:rFonts w:ascii="Arial" w:hAnsi="Arial" w:cs="Arial"/>
          <w:sz w:val="24"/>
          <w:szCs w:val="24"/>
        </w:rPr>
        <w:t>Sistematização dos dados;</w:t>
      </w:r>
    </w:p>
    <w:p w:rsidR="006A4EE4" w:rsidRPr="003C5C7D" w:rsidRDefault="006A4EE4" w:rsidP="00533722">
      <w:pPr>
        <w:numPr>
          <w:ilvl w:val="0"/>
          <w:numId w:val="3"/>
        </w:numPr>
        <w:tabs>
          <w:tab w:val="clear" w:pos="1428"/>
          <w:tab w:val="num" w:pos="709"/>
        </w:tabs>
        <w:ind w:left="993" w:hanging="284"/>
        <w:jc w:val="both"/>
        <w:rPr>
          <w:rFonts w:ascii="Arial" w:hAnsi="Arial" w:cs="Arial"/>
          <w:sz w:val="24"/>
          <w:szCs w:val="24"/>
        </w:rPr>
      </w:pPr>
      <w:r w:rsidRPr="003C5C7D">
        <w:rPr>
          <w:rFonts w:ascii="Arial" w:hAnsi="Arial" w:cs="Arial"/>
          <w:sz w:val="24"/>
          <w:szCs w:val="24"/>
        </w:rPr>
        <w:t>Organização;</w:t>
      </w:r>
    </w:p>
    <w:p w:rsidR="006A4EE4" w:rsidRPr="003C5C7D" w:rsidRDefault="006A4EE4" w:rsidP="00533722">
      <w:pPr>
        <w:numPr>
          <w:ilvl w:val="0"/>
          <w:numId w:val="3"/>
        </w:numPr>
        <w:tabs>
          <w:tab w:val="clear" w:pos="1428"/>
          <w:tab w:val="num" w:pos="709"/>
        </w:tabs>
        <w:ind w:left="993" w:hanging="284"/>
        <w:jc w:val="both"/>
        <w:rPr>
          <w:rFonts w:ascii="Arial" w:hAnsi="Arial" w:cs="Arial"/>
          <w:sz w:val="24"/>
          <w:szCs w:val="24"/>
        </w:rPr>
      </w:pPr>
      <w:r w:rsidRPr="003C5C7D">
        <w:rPr>
          <w:rFonts w:ascii="Arial" w:hAnsi="Arial" w:cs="Arial"/>
          <w:sz w:val="24"/>
          <w:szCs w:val="24"/>
        </w:rPr>
        <w:t>Classificação;</w:t>
      </w:r>
    </w:p>
    <w:p w:rsidR="006A4EE4" w:rsidRPr="003C5C7D" w:rsidRDefault="006A4EE4" w:rsidP="00533722">
      <w:pPr>
        <w:numPr>
          <w:ilvl w:val="0"/>
          <w:numId w:val="3"/>
        </w:numPr>
        <w:tabs>
          <w:tab w:val="clear" w:pos="1428"/>
          <w:tab w:val="num" w:pos="709"/>
        </w:tabs>
        <w:ind w:left="993" w:hanging="284"/>
        <w:jc w:val="both"/>
        <w:rPr>
          <w:rFonts w:ascii="Arial" w:hAnsi="Arial" w:cs="Arial"/>
          <w:sz w:val="24"/>
          <w:szCs w:val="24"/>
        </w:rPr>
      </w:pPr>
      <w:r w:rsidRPr="003C5C7D">
        <w:rPr>
          <w:rFonts w:ascii="Arial" w:hAnsi="Arial" w:cs="Arial"/>
          <w:sz w:val="24"/>
          <w:szCs w:val="24"/>
        </w:rPr>
        <w:t>Correlação de dados;</w:t>
      </w:r>
    </w:p>
    <w:p w:rsidR="006A4EE4" w:rsidRPr="003C5C7D" w:rsidRDefault="006A4EE4" w:rsidP="00533722">
      <w:pPr>
        <w:numPr>
          <w:ilvl w:val="0"/>
          <w:numId w:val="3"/>
        </w:numPr>
        <w:tabs>
          <w:tab w:val="clear" w:pos="1428"/>
          <w:tab w:val="num" w:pos="709"/>
        </w:tabs>
        <w:spacing w:after="200"/>
        <w:ind w:left="993" w:hanging="284"/>
        <w:jc w:val="both"/>
        <w:rPr>
          <w:rFonts w:ascii="Arial" w:hAnsi="Arial" w:cs="Arial"/>
          <w:sz w:val="24"/>
          <w:szCs w:val="24"/>
        </w:rPr>
      </w:pPr>
      <w:r w:rsidRPr="003C5C7D">
        <w:rPr>
          <w:rFonts w:ascii="Arial" w:hAnsi="Arial" w:cs="Arial"/>
          <w:sz w:val="24"/>
          <w:szCs w:val="24"/>
        </w:rPr>
        <w:t>Análise e interpretação.</w:t>
      </w:r>
    </w:p>
    <w:p w:rsidR="006A4EE4" w:rsidRDefault="006A4EE4" w:rsidP="008E2AC8">
      <w:pPr>
        <w:ind w:firstLine="720"/>
        <w:jc w:val="both"/>
        <w:rPr>
          <w:rFonts w:ascii="Arial" w:hAnsi="Arial" w:cs="Arial"/>
          <w:sz w:val="24"/>
          <w:szCs w:val="24"/>
        </w:rPr>
      </w:pPr>
      <w:r w:rsidRPr="003C5C7D">
        <w:rPr>
          <w:rFonts w:ascii="Arial" w:hAnsi="Arial" w:cs="Arial"/>
          <w:sz w:val="24"/>
          <w:szCs w:val="24"/>
        </w:rPr>
        <w:t>Deverão ainda, ser levantados estudos regionais, projetos, relatórios, trabalhos de pesquisa, fichas cadastrais de poços, boletins de análises físico-químicas, mapas geológicos e temáticos, imagens de satélite, estudos climatológicos e hidrográficos e outros que apresentem relação com o estudo a ser realizado. Essa compilação visa apresentar um estado da arte atualizado sobre todo o conhecimento necessário para a realização destes estudos.</w:t>
      </w:r>
    </w:p>
    <w:p w:rsidR="006A4EE4" w:rsidRDefault="006A4EE4" w:rsidP="008E2AC8">
      <w:pPr>
        <w:jc w:val="both"/>
        <w:rPr>
          <w:rFonts w:ascii="Arial" w:hAnsi="Arial" w:cs="Arial"/>
          <w:b/>
          <w:sz w:val="24"/>
          <w:szCs w:val="24"/>
        </w:rPr>
      </w:pPr>
    </w:p>
    <w:p w:rsidR="006A4EE4" w:rsidRPr="003C5C7D" w:rsidRDefault="006A4EE4" w:rsidP="008E2AC8">
      <w:pPr>
        <w:jc w:val="both"/>
        <w:rPr>
          <w:rFonts w:ascii="Arial" w:hAnsi="Arial" w:cs="Arial"/>
          <w:b/>
          <w:sz w:val="24"/>
          <w:szCs w:val="24"/>
        </w:rPr>
      </w:pPr>
      <w:r w:rsidRPr="003C5C7D">
        <w:rPr>
          <w:rFonts w:ascii="Arial" w:hAnsi="Arial" w:cs="Arial"/>
          <w:b/>
          <w:sz w:val="24"/>
          <w:szCs w:val="24"/>
        </w:rPr>
        <w:t>4.2. Estudos geológicos e geomorfológicos</w:t>
      </w:r>
    </w:p>
    <w:p w:rsidR="006A4EE4" w:rsidRPr="003C5C7D" w:rsidRDefault="006A4EE4" w:rsidP="008E2AC8">
      <w:pPr>
        <w:ind w:firstLine="748"/>
        <w:jc w:val="both"/>
        <w:rPr>
          <w:rFonts w:ascii="Arial" w:hAnsi="Arial" w:cs="Arial"/>
          <w:sz w:val="24"/>
          <w:szCs w:val="24"/>
        </w:rPr>
      </w:pPr>
      <w:r w:rsidRPr="003C5C7D">
        <w:rPr>
          <w:rFonts w:ascii="Arial" w:hAnsi="Arial" w:cs="Arial"/>
          <w:sz w:val="24"/>
          <w:szCs w:val="24"/>
        </w:rPr>
        <w:t>Os dados geológicos/geomorfológicos serão compilados do Mapa Geológico do Estado do Tocantins (CPRM) na escala 1:250.000.</w:t>
      </w:r>
    </w:p>
    <w:p w:rsidR="006A4EE4" w:rsidRDefault="006A4EE4" w:rsidP="008E2AC8">
      <w:pPr>
        <w:ind w:firstLine="748"/>
        <w:jc w:val="both"/>
        <w:rPr>
          <w:rFonts w:ascii="Arial" w:hAnsi="Arial" w:cs="Arial"/>
          <w:sz w:val="24"/>
          <w:szCs w:val="24"/>
        </w:rPr>
      </w:pPr>
      <w:r w:rsidRPr="003C5C7D">
        <w:rPr>
          <w:rFonts w:ascii="Arial" w:hAnsi="Arial" w:cs="Arial"/>
          <w:sz w:val="24"/>
          <w:szCs w:val="24"/>
        </w:rPr>
        <w:t>A análise conjunta dos perfis lito-estratigráficos dos poços e as bases geológicas deverá fornecer informações suficientes para a elaboração de mapas de isópacas (espessuras) das formações aquíferas, no caso das formações sedimentares.</w:t>
      </w:r>
    </w:p>
    <w:p w:rsidR="006A4EE4" w:rsidRDefault="006A4EE4" w:rsidP="008E2AC8">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Pr="006A4EE4" w:rsidRDefault="006A4EE4" w:rsidP="006A4EE4">
      <w:pPr>
        <w:spacing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4.3. Realização de estudos hidro-climatológicos</w:t>
      </w:r>
    </w:p>
    <w:p w:rsidR="006A4EE4" w:rsidRPr="006A4EE4" w:rsidRDefault="006A4EE4" w:rsidP="006A4EE4">
      <w:pPr>
        <w:spacing w:before="240" w:after="200" w:line="276" w:lineRule="auto"/>
        <w:ind w:firstLine="748"/>
        <w:jc w:val="both"/>
        <w:rPr>
          <w:rFonts w:ascii="Arial" w:eastAsia="Calibri" w:hAnsi="Arial" w:cs="Arial"/>
          <w:sz w:val="24"/>
          <w:szCs w:val="24"/>
          <w:lang w:eastAsia="en-US"/>
        </w:rPr>
      </w:pPr>
      <w:r w:rsidRPr="006A4EE4">
        <w:rPr>
          <w:rFonts w:ascii="Arial" w:eastAsia="Calibri" w:hAnsi="Arial" w:cs="Arial"/>
          <w:sz w:val="24"/>
          <w:szCs w:val="24"/>
          <w:lang w:eastAsia="en-US"/>
        </w:rPr>
        <w:lastRenderedPageBreak/>
        <w:t xml:space="preserve">Deverão ser analisados todos os dados de séries históricas de pluviometria, (evaporação + evapotranspiração) e escoamento superficial, para elaboração do </w:t>
      </w:r>
      <w:r w:rsidRPr="006A4EE4">
        <w:rPr>
          <w:rFonts w:ascii="Arial" w:eastAsia="Calibri" w:hAnsi="Arial" w:cs="Arial"/>
          <w:i/>
          <w:sz w:val="24"/>
          <w:szCs w:val="24"/>
          <w:lang w:eastAsia="en-US"/>
        </w:rPr>
        <w:t xml:space="preserve">balanço hídrico </w:t>
      </w:r>
      <w:r w:rsidRPr="006A4EE4">
        <w:rPr>
          <w:rFonts w:ascii="Arial" w:eastAsia="Calibri" w:hAnsi="Arial" w:cs="Arial"/>
          <w:sz w:val="24"/>
          <w:szCs w:val="24"/>
          <w:lang w:eastAsia="en-US"/>
        </w:rPr>
        <w:t>e cálculo da infiltração de água para os mananciais subterrâneos.</w:t>
      </w:r>
    </w:p>
    <w:p w:rsidR="006A4EE4" w:rsidRPr="006A4EE4" w:rsidRDefault="006A4EE4" w:rsidP="006A4EE4">
      <w:pPr>
        <w:spacing w:after="200" w:line="276" w:lineRule="auto"/>
        <w:ind w:firstLine="748"/>
        <w:jc w:val="both"/>
        <w:rPr>
          <w:rFonts w:ascii="Arial" w:eastAsia="Calibri" w:hAnsi="Arial" w:cs="Arial"/>
          <w:sz w:val="24"/>
          <w:szCs w:val="24"/>
          <w:lang w:eastAsia="en-US"/>
        </w:rPr>
      </w:pPr>
      <w:r w:rsidRPr="006A4EE4">
        <w:rPr>
          <w:rFonts w:ascii="Arial" w:eastAsia="Calibri" w:hAnsi="Arial" w:cs="Arial"/>
          <w:sz w:val="24"/>
          <w:szCs w:val="24"/>
          <w:lang w:eastAsia="en-US"/>
        </w:rPr>
        <w:t>Deverá ainda, ser realizada uma campanha de coleta de dados para determinar o coeficiente de permeabilidade dos solos/rochas - avaliar a capacidade de recarga.</w:t>
      </w:r>
    </w:p>
    <w:p w:rsidR="006A4EE4" w:rsidRPr="006A4EE4" w:rsidRDefault="006A4EE4" w:rsidP="006A4EE4">
      <w:pPr>
        <w:spacing w:after="200" w:line="276" w:lineRule="auto"/>
        <w:ind w:firstLine="748"/>
        <w:jc w:val="both"/>
        <w:rPr>
          <w:rFonts w:ascii="Arial" w:eastAsia="Calibri" w:hAnsi="Arial" w:cs="Arial"/>
          <w:sz w:val="24"/>
          <w:szCs w:val="24"/>
          <w:lang w:eastAsia="en-US"/>
        </w:rPr>
      </w:pPr>
      <w:r w:rsidRPr="006A4EE4">
        <w:rPr>
          <w:rFonts w:ascii="Arial" w:eastAsia="Calibri" w:hAnsi="Arial" w:cs="Arial"/>
          <w:sz w:val="24"/>
          <w:szCs w:val="24"/>
          <w:lang w:eastAsia="en-US"/>
        </w:rPr>
        <w:t>Também deverá ser efetuada uma análise das características climatológicas como temperaturas, precipitações, evaporação, evapotranspiração, umidade do ar, e a classificação climática apresentada em mapas regionais.</w:t>
      </w:r>
    </w:p>
    <w:p w:rsidR="006A4EE4" w:rsidRPr="006A4EE4" w:rsidRDefault="006A4EE4" w:rsidP="006A4EE4">
      <w:pPr>
        <w:spacing w:line="276" w:lineRule="auto"/>
        <w:ind w:firstLine="748"/>
        <w:jc w:val="both"/>
        <w:rPr>
          <w:rFonts w:ascii="Arial" w:eastAsia="Calibri" w:hAnsi="Arial" w:cs="Arial"/>
          <w:sz w:val="24"/>
          <w:szCs w:val="24"/>
          <w:lang w:eastAsia="en-US"/>
        </w:rPr>
      </w:pPr>
      <w:r w:rsidRPr="006A4EE4">
        <w:rPr>
          <w:rFonts w:ascii="Arial" w:eastAsia="Calibri" w:hAnsi="Arial" w:cs="Arial"/>
          <w:sz w:val="24"/>
          <w:szCs w:val="24"/>
          <w:lang w:eastAsia="en-US"/>
        </w:rPr>
        <w:t>Serão utilizados dados fluviométricos dos rios/riachos perenes existentes na área de estudo para elaboração de hidrograma e análise de hidrógrafas com o objetivo de avaliar a lâmina d’água infiltrada de acordo com a equação de Mailet.</w:t>
      </w:r>
    </w:p>
    <w:p w:rsidR="006A4EE4" w:rsidRPr="006A4EE4" w:rsidRDefault="006A4EE4" w:rsidP="006A4EE4">
      <w:pPr>
        <w:spacing w:line="276" w:lineRule="auto"/>
        <w:ind w:firstLine="709"/>
        <w:jc w:val="both"/>
        <w:rPr>
          <w:rFonts w:ascii="Arial" w:eastAsia="Calibri" w:hAnsi="Arial" w:cs="Arial"/>
          <w:b/>
          <w:sz w:val="24"/>
          <w:szCs w:val="24"/>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4.4. Seleção de poços para definição de uma rede de monitoramento quali-quantitativo</w:t>
      </w:r>
    </w:p>
    <w:p w:rsidR="006A4EE4" w:rsidRPr="006A4EE4" w:rsidRDefault="006A4EE4" w:rsidP="006A4EE4">
      <w:pPr>
        <w:spacing w:after="200" w:line="276" w:lineRule="auto"/>
        <w:ind w:firstLine="748"/>
        <w:jc w:val="both"/>
        <w:rPr>
          <w:rFonts w:ascii="Arial" w:eastAsia="Calibri" w:hAnsi="Arial" w:cs="Arial"/>
          <w:sz w:val="24"/>
          <w:szCs w:val="24"/>
          <w:lang w:eastAsia="en-US"/>
        </w:rPr>
      </w:pPr>
      <w:r w:rsidRPr="006A4EE4">
        <w:rPr>
          <w:rFonts w:ascii="Arial" w:eastAsia="Calibri" w:hAnsi="Arial" w:cs="Arial"/>
          <w:sz w:val="24"/>
          <w:szCs w:val="24"/>
          <w:lang w:eastAsia="en-US"/>
        </w:rPr>
        <w:t xml:space="preserve">A partir da análise dos dados de poços levantados na etapa inicial, deverá ser escolhida uma rede de poços com no mínimo 100 poços, devendo ser assim distribuídos: </w:t>
      </w:r>
    </w:p>
    <w:p w:rsidR="006A4EE4" w:rsidRPr="006A4EE4" w:rsidRDefault="006A4EE4" w:rsidP="00533722">
      <w:pPr>
        <w:numPr>
          <w:ilvl w:val="0"/>
          <w:numId w:val="3"/>
        </w:numPr>
        <w:tabs>
          <w:tab w:val="num" w:pos="1276"/>
        </w:tabs>
        <w:spacing w:after="200" w:line="276" w:lineRule="auto"/>
        <w:jc w:val="both"/>
        <w:rPr>
          <w:rFonts w:ascii="Arial" w:eastAsia="Calibri" w:hAnsi="Arial" w:cs="Arial"/>
          <w:sz w:val="24"/>
          <w:szCs w:val="24"/>
          <w:lang w:eastAsia="en-US"/>
        </w:rPr>
      </w:pPr>
      <w:r w:rsidRPr="006A4EE4">
        <w:rPr>
          <w:rFonts w:ascii="Arial" w:eastAsia="Calibri" w:hAnsi="Arial" w:cs="Arial"/>
          <w:sz w:val="24"/>
          <w:szCs w:val="24"/>
          <w:lang w:eastAsia="en-US"/>
        </w:rPr>
        <w:t>70% dos poços no aquífero poroso (rochas sedimentares);</w:t>
      </w:r>
    </w:p>
    <w:p w:rsidR="006A4EE4" w:rsidRPr="006A4EE4" w:rsidRDefault="006A4EE4" w:rsidP="00533722">
      <w:pPr>
        <w:numPr>
          <w:ilvl w:val="0"/>
          <w:numId w:val="3"/>
        </w:numPr>
        <w:tabs>
          <w:tab w:val="num" w:pos="1276"/>
        </w:tabs>
        <w:spacing w:after="200" w:line="276" w:lineRule="auto"/>
        <w:jc w:val="both"/>
        <w:rPr>
          <w:rFonts w:ascii="Arial" w:eastAsia="Calibri" w:hAnsi="Arial" w:cs="Arial"/>
          <w:sz w:val="24"/>
          <w:szCs w:val="24"/>
          <w:lang w:eastAsia="en-US"/>
        </w:rPr>
      </w:pPr>
      <w:r w:rsidRPr="006A4EE4">
        <w:rPr>
          <w:rFonts w:ascii="Arial" w:eastAsia="Calibri" w:hAnsi="Arial" w:cs="Arial"/>
          <w:sz w:val="24"/>
          <w:szCs w:val="24"/>
          <w:lang w:eastAsia="en-US"/>
        </w:rPr>
        <w:t>30% dos poços no aquífero fissural (rochas cristalinas);</w:t>
      </w:r>
    </w:p>
    <w:p w:rsidR="006A4EE4" w:rsidRPr="006A4EE4" w:rsidRDefault="006A4EE4" w:rsidP="006A4EE4">
      <w:pPr>
        <w:spacing w:line="276" w:lineRule="auto"/>
        <w:ind w:firstLine="709"/>
        <w:jc w:val="both"/>
        <w:rPr>
          <w:rFonts w:ascii="Arial" w:eastAsia="Calibri" w:hAnsi="Arial" w:cs="Arial"/>
          <w:b/>
          <w:sz w:val="24"/>
          <w:szCs w:val="24"/>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4.5. Estudos a serem desenvolvidos na área dos Aqüíferos Porosos</w:t>
      </w: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4.5.1. Perfuração de poço</w:t>
      </w:r>
    </w:p>
    <w:p w:rsidR="006A4EE4" w:rsidRPr="006A4EE4" w:rsidRDefault="006A4EE4" w:rsidP="006A4EE4">
      <w:pPr>
        <w:spacing w:line="276" w:lineRule="auto"/>
        <w:ind w:firstLine="720"/>
        <w:jc w:val="both"/>
        <w:rPr>
          <w:rFonts w:ascii="Arial" w:eastAsia="Calibri" w:hAnsi="Arial" w:cs="Arial"/>
          <w:sz w:val="24"/>
          <w:szCs w:val="24"/>
          <w:lang w:eastAsia="en-US"/>
        </w:rPr>
      </w:pPr>
      <w:r w:rsidRPr="006A4EE4">
        <w:rPr>
          <w:rFonts w:ascii="Arial" w:eastAsia="Calibri" w:hAnsi="Arial" w:cs="Arial"/>
          <w:sz w:val="24"/>
          <w:szCs w:val="24"/>
          <w:lang w:eastAsia="en-US"/>
        </w:rPr>
        <w:t>Na área de ocorrência dos aquíferos porosos deverá ser perfurado um poço tubular profundo, para monitoramento em cada formação aqüífera. O poço a ser perfurado no âmbito deste estudo deverá estar de acordo com as normas ABNT para perfuração de poços de monitoramento, após a definição do modelo mais adequado, conforme o local escolhido.</w:t>
      </w:r>
    </w:p>
    <w:p w:rsidR="006A4EE4" w:rsidRPr="006A4EE4" w:rsidRDefault="006A4EE4" w:rsidP="006A4EE4">
      <w:pPr>
        <w:spacing w:line="276" w:lineRule="auto"/>
        <w:ind w:firstLine="720"/>
        <w:jc w:val="both"/>
        <w:rPr>
          <w:rFonts w:ascii="Arial" w:eastAsia="Calibri" w:hAnsi="Arial" w:cs="Arial"/>
          <w:b/>
          <w:sz w:val="24"/>
          <w:szCs w:val="24"/>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4.5.2. Cadastramento dos poços da rede de monitoramento</w:t>
      </w:r>
    </w:p>
    <w:p w:rsidR="006A4EE4" w:rsidRPr="006A4EE4" w:rsidRDefault="006A4EE4" w:rsidP="006A4EE4">
      <w:pPr>
        <w:spacing w:after="200" w:line="276" w:lineRule="auto"/>
        <w:ind w:firstLine="748"/>
        <w:jc w:val="both"/>
        <w:rPr>
          <w:rFonts w:ascii="Arial" w:eastAsia="Calibri" w:hAnsi="Arial" w:cs="Arial"/>
          <w:sz w:val="24"/>
          <w:szCs w:val="24"/>
          <w:lang w:eastAsia="en-US"/>
        </w:rPr>
      </w:pPr>
      <w:r w:rsidRPr="006A4EE4">
        <w:rPr>
          <w:rFonts w:ascii="Arial" w:eastAsia="Calibri" w:hAnsi="Arial" w:cs="Arial"/>
          <w:sz w:val="24"/>
          <w:szCs w:val="24"/>
          <w:lang w:eastAsia="en-US"/>
        </w:rPr>
        <w:t xml:space="preserve">Nos poços selecionados na área de rochas sedimentares deverão ser efetuados cadastros de campo, com preenchimento de uma ficha a ser previamente submetida pela contratada à contratante. Durante o cadastramento deverão ser determinadas as coordenadas do poço por GPS de navegação e efetuadas medidas de nível e vazão dos poços assim como retirada uma amostra da água (nos poços </w:t>
      </w:r>
      <w:r w:rsidRPr="006A4EE4">
        <w:rPr>
          <w:rFonts w:ascii="Arial" w:eastAsia="Calibri" w:hAnsi="Arial" w:cs="Arial"/>
          <w:sz w:val="24"/>
          <w:szCs w:val="24"/>
          <w:lang w:eastAsia="en-US"/>
        </w:rPr>
        <w:lastRenderedPageBreak/>
        <w:t>instalados com bomba) e efetuada uma determinação da condutividade elétrica com condutivímetro portátil.</w:t>
      </w:r>
    </w:p>
    <w:p w:rsidR="006A4EE4" w:rsidRPr="006A4EE4" w:rsidRDefault="006A4EE4" w:rsidP="006A4EE4">
      <w:pPr>
        <w:spacing w:after="200" w:line="276" w:lineRule="auto"/>
        <w:ind w:firstLine="748"/>
        <w:jc w:val="both"/>
        <w:rPr>
          <w:rFonts w:ascii="Arial" w:eastAsia="Calibri" w:hAnsi="Arial" w:cs="Arial"/>
          <w:sz w:val="24"/>
          <w:szCs w:val="24"/>
          <w:lang w:eastAsia="en-US"/>
        </w:rPr>
      </w:pPr>
      <w:r w:rsidRPr="006A4EE4">
        <w:rPr>
          <w:rFonts w:ascii="Arial" w:eastAsia="Calibri" w:hAnsi="Arial" w:cs="Arial"/>
          <w:sz w:val="24"/>
          <w:szCs w:val="24"/>
          <w:lang w:eastAsia="en-US"/>
        </w:rPr>
        <w:t>Deverá ser dispensada atenção ao perfil construtivo dos poços cadastrados. Esse perfil deverá orientar a seleção dos poços para monitoramento.</w:t>
      </w:r>
    </w:p>
    <w:p w:rsidR="006A4EE4" w:rsidRPr="006A4EE4" w:rsidRDefault="006A4EE4" w:rsidP="006A4EE4">
      <w:pPr>
        <w:spacing w:line="276" w:lineRule="auto"/>
        <w:ind w:firstLine="748"/>
        <w:jc w:val="both"/>
        <w:rPr>
          <w:rFonts w:ascii="Arial" w:eastAsia="Calibri" w:hAnsi="Arial" w:cs="Arial"/>
          <w:sz w:val="24"/>
          <w:szCs w:val="24"/>
          <w:lang w:eastAsia="en-US"/>
        </w:rPr>
      </w:pPr>
      <w:r w:rsidRPr="006A4EE4">
        <w:rPr>
          <w:rFonts w:ascii="Arial" w:eastAsia="Calibri" w:hAnsi="Arial" w:cs="Arial"/>
          <w:sz w:val="24"/>
          <w:szCs w:val="24"/>
          <w:lang w:eastAsia="en-US"/>
        </w:rPr>
        <w:t xml:space="preserve"> Além da determinação da condutividade elétrica em todos os poços onde seja possível a coleta de água, alguns poços – em torno de 50% dos poços cadastrados – deverão ser selecionados para coleta de água para realização de análises físico-químicas e bacteriológicas em laboratórios.</w:t>
      </w:r>
    </w:p>
    <w:p w:rsidR="006A4EE4" w:rsidRPr="006A4EE4" w:rsidRDefault="006A4EE4" w:rsidP="006A4EE4">
      <w:pPr>
        <w:spacing w:line="276" w:lineRule="auto"/>
        <w:ind w:firstLine="748"/>
        <w:jc w:val="both"/>
        <w:rPr>
          <w:rFonts w:ascii="Arial" w:eastAsia="Calibri" w:hAnsi="Arial" w:cs="Arial"/>
          <w:sz w:val="24"/>
          <w:szCs w:val="24"/>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4.5.3. Nivelamento dos poços</w:t>
      </w:r>
    </w:p>
    <w:p w:rsidR="006A4EE4" w:rsidRPr="006A4EE4" w:rsidRDefault="006A4EE4" w:rsidP="006A4EE4">
      <w:pPr>
        <w:spacing w:after="200" w:line="276" w:lineRule="auto"/>
        <w:ind w:firstLine="748"/>
        <w:jc w:val="both"/>
        <w:rPr>
          <w:rFonts w:ascii="Arial" w:eastAsia="Calibri" w:hAnsi="Arial" w:cs="Arial"/>
          <w:sz w:val="24"/>
          <w:szCs w:val="24"/>
          <w:lang w:eastAsia="en-US"/>
        </w:rPr>
      </w:pPr>
      <w:r w:rsidRPr="006A4EE4">
        <w:rPr>
          <w:rFonts w:ascii="Arial" w:eastAsia="Calibri" w:hAnsi="Arial" w:cs="Arial"/>
          <w:sz w:val="24"/>
          <w:szCs w:val="24"/>
          <w:lang w:eastAsia="en-US"/>
        </w:rPr>
        <w:t xml:space="preserve">Em todos os poços da rede de monitoramento localizados nas rochas sedimentares, com nível estático medido, será efetuado o nivelamento com GPS geodésico, de precisão milimétrica. </w:t>
      </w:r>
    </w:p>
    <w:p w:rsidR="006A4EE4" w:rsidRPr="006A4EE4" w:rsidRDefault="006A4EE4" w:rsidP="006A4EE4">
      <w:pPr>
        <w:spacing w:after="200" w:line="276" w:lineRule="auto"/>
        <w:ind w:firstLine="748"/>
        <w:jc w:val="both"/>
        <w:rPr>
          <w:rFonts w:ascii="Arial" w:eastAsia="Calibri" w:hAnsi="Arial" w:cs="Arial"/>
          <w:sz w:val="24"/>
          <w:szCs w:val="24"/>
          <w:lang w:eastAsia="en-US"/>
        </w:rPr>
      </w:pPr>
      <w:r w:rsidRPr="006A4EE4">
        <w:rPr>
          <w:rFonts w:ascii="Arial" w:eastAsia="Calibri" w:hAnsi="Arial" w:cs="Arial"/>
          <w:sz w:val="24"/>
          <w:szCs w:val="24"/>
          <w:lang w:eastAsia="en-US"/>
        </w:rPr>
        <w:t xml:space="preserve">Considerando-se as dificuldades que normalmente ocorrem na medição do N.E., admite-se como aceitável um percentual de pelo menos 50% dos poços cadastrados no campo. </w:t>
      </w:r>
    </w:p>
    <w:p w:rsidR="006A4EE4" w:rsidRPr="006A4EE4" w:rsidRDefault="006A4EE4" w:rsidP="006A4EE4">
      <w:pPr>
        <w:spacing w:line="276" w:lineRule="auto"/>
        <w:ind w:firstLine="748"/>
        <w:jc w:val="both"/>
        <w:rPr>
          <w:rFonts w:ascii="Arial" w:eastAsia="Calibri" w:hAnsi="Arial" w:cs="Arial"/>
          <w:sz w:val="24"/>
          <w:szCs w:val="24"/>
          <w:lang w:eastAsia="en-US"/>
        </w:rPr>
      </w:pPr>
      <w:r w:rsidRPr="006A4EE4">
        <w:rPr>
          <w:rFonts w:ascii="Arial" w:eastAsia="Calibri" w:hAnsi="Arial" w:cs="Arial"/>
          <w:sz w:val="24"/>
          <w:szCs w:val="24"/>
          <w:lang w:eastAsia="en-US"/>
        </w:rPr>
        <w:t>Esse nivelamento será fundamental para a elaboração do mapa potenciométrico dos aquíferos.</w:t>
      </w:r>
    </w:p>
    <w:p w:rsidR="006A4EE4" w:rsidRPr="006A4EE4" w:rsidRDefault="006A4EE4" w:rsidP="006A4EE4">
      <w:pPr>
        <w:spacing w:line="276" w:lineRule="auto"/>
        <w:ind w:firstLine="748"/>
        <w:jc w:val="both"/>
        <w:rPr>
          <w:rFonts w:ascii="Arial" w:eastAsia="Calibri" w:hAnsi="Arial" w:cs="Arial"/>
          <w:sz w:val="24"/>
          <w:szCs w:val="24"/>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4.5.4. Elaboração do Mapa Potenciométrico</w:t>
      </w:r>
    </w:p>
    <w:p w:rsidR="006A4EE4" w:rsidRPr="006A4EE4" w:rsidRDefault="006A4EE4" w:rsidP="006A4EE4">
      <w:pPr>
        <w:spacing w:line="276" w:lineRule="auto"/>
        <w:ind w:firstLine="748"/>
        <w:jc w:val="both"/>
        <w:rPr>
          <w:rFonts w:ascii="Arial" w:eastAsia="Calibri" w:hAnsi="Arial" w:cs="Arial"/>
          <w:sz w:val="24"/>
          <w:szCs w:val="24"/>
          <w:lang w:eastAsia="en-US"/>
        </w:rPr>
      </w:pPr>
      <w:r w:rsidRPr="006A4EE4">
        <w:rPr>
          <w:rFonts w:ascii="Arial" w:eastAsia="Calibri" w:hAnsi="Arial" w:cs="Arial"/>
          <w:sz w:val="24"/>
          <w:szCs w:val="24"/>
          <w:lang w:eastAsia="en-US"/>
        </w:rPr>
        <w:t>A partir dos valores das cotas altimétricas dos níveis estáticos dos poços obtidas em função da medição da profundidade do nível e do nivelamento da boca do poço, serão elaborados os mapaspotenciométricos para cada aqüífero da região.</w:t>
      </w:r>
    </w:p>
    <w:p w:rsidR="006A4EE4" w:rsidRPr="006A4EE4" w:rsidRDefault="006A4EE4" w:rsidP="006A4EE4">
      <w:pPr>
        <w:spacing w:line="276" w:lineRule="auto"/>
        <w:ind w:firstLine="748"/>
        <w:jc w:val="both"/>
        <w:rPr>
          <w:rFonts w:ascii="Arial" w:eastAsia="Calibri" w:hAnsi="Arial" w:cs="Arial"/>
          <w:sz w:val="24"/>
          <w:szCs w:val="24"/>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4.5.5. Perfilagens geofísicas em poços existentes</w:t>
      </w:r>
    </w:p>
    <w:p w:rsidR="006A4EE4" w:rsidRPr="006A4EE4" w:rsidRDefault="006A4EE4" w:rsidP="006A4EE4">
      <w:pPr>
        <w:spacing w:line="276" w:lineRule="auto"/>
        <w:ind w:firstLine="748"/>
        <w:jc w:val="both"/>
        <w:rPr>
          <w:rFonts w:ascii="Arial" w:eastAsia="Calibri" w:hAnsi="Arial" w:cs="Arial"/>
          <w:sz w:val="24"/>
          <w:szCs w:val="24"/>
          <w:lang w:eastAsia="en-US"/>
        </w:rPr>
      </w:pPr>
      <w:r w:rsidRPr="006A4EE4">
        <w:rPr>
          <w:rFonts w:ascii="Arial" w:eastAsia="Calibri" w:hAnsi="Arial" w:cs="Arial"/>
          <w:sz w:val="24"/>
          <w:szCs w:val="24"/>
          <w:lang w:eastAsia="en-US"/>
        </w:rPr>
        <w:t>Deverão ser selecionados no mínimo 10% dos poços do aquífero poroso para serem executados perfis geofísicos de raios gama, potencial espontâneo e eletrorresistividade.</w:t>
      </w:r>
    </w:p>
    <w:p w:rsidR="006A4EE4" w:rsidRPr="006A4EE4" w:rsidRDefault="006A4EE4" w:rsidP="006A4EE4">
      <w:pPr>
        <w:spacing w:line="276" w:lineRule="auto"/>
        <w:ind w:firstLine="748"/>
        <w:jc w:val="both"/>
        <w:rPr>
          <w:rFonts w:ascii="Arial" w:eastAsia="Calibri" w:hAnsi="Arial" w:cs="Arial"/>
          <w:sz w:val="24"/>
          <w:szCs w:val="24"/>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4.5.6. Testes de aquífero em poços existentes</w:t>
      </w:r>
    </w:p>
    <w:p w:rsidR="006A4EE4" w:rsidRPr="006A4EE4" w:rsidRDefault="006A4EE4" w:rsidP="006A4EE4">
      <w:pPr>
        <w:spacing w:after="200" w:line="276" w:lineRule="auto"/>
        <w:ind w:firstLine="709"/>
        <w:jc w:val="both"/>
        <w:rPr>
          <w:rFonts w:ascii="Arial" w:eastAsia="Calibri" w:hAnsi="Arial" w:cs="Arial"/>
          <w:sz w:val="24"/>
          <w:szCs w:val="24"/>
          <w:lang w:eastAsia="en-US"/>
        </w:rPr>
      </w:pPr>
      <w:r w:rsidRPr="006A4EE4">
        <w:rPr>
          <w:rFonts w:ascii="Arial" w:eastAsia="Calibri" w:hAnsi="Arial" w:cs="Arial"/>
          <w:sz w:val="24"/>
          <w:szCs w:val="24"/>
          <w:lang w:eastAsia="en-US"/>
        </w:rPr>
        <w:t>Deverão ser selecionados no mínimo 10% dos poços do aquífero poroso para serem executados testes de aquífero visando definir a transmissividade, a condutividade hidráulica e o Coeficiente de armazenamento (quando se tratar de aquífero confinado). Na eventualidade de existir poço nas proximidades dopoço testado, deverão ser efetuadas medições de rebaixamento no mesmo que passará a funcionar como piezômetro.</w:t>
      </w:r>
    </w:p>
    <w:p w:rsidR="006A4EE4" w:rsidRPr="006A4EE4" w:rsidRDefault="006A4EE4" w:rsidP="006A4EE4">
      <w:pPr>
        <w:spacing w:after="200" w:line="276" w:lineRule="auto"/>
        <w:ind w:firstLine="709"/>
        <w:jc w:val="both"/>
        <w:rPr>
          <w:rFonts w:ascii="Arial" w:eastAsia="Calibri" w:hAnsi="Arial" w:cs="Arial"/>
          <w:sz w:val="24"/>
          <w:szCs w:val="24"/>
          <w:lang w:eastAsia="en-US"/>
        </w:rPr>
      </w:pPr>
      <w:r w:rsidRPr="006A4EE4">
        <w:rPr>
          <w:rFonts w:ascii="Arial" w:eastAsia="Calibri" w:hAnsi="Arial" w:cs="Arial"/>
          <w:sz w:val="24"/>
          <w:szCs w:val="24"/>
          <w:lang w:eastAsia="en-US"/>
        </w:rPr>
        <w:lastRenderedPageBreak/>
        <w:t>Na escolha dos poços a testar deverão ser considerados os seguintes requisitos:</w:t>
      </w:r>
    </w:p>
    <w:p w:rsidR="006A4EE4" w:rsidRPr="006A4EE4" w:rsidRDefault="006A4EE4" w:rsidP="00533722">
      <w:pPr>
        <w:numPr>
          <w:ilvl w:val="0"/>
          <w:numId w:val="5"/>
        </w:numPr>
        <w:tabs>
          <w:tab w:val="left" w:pos="426"/>
          <w:tab w:val="left" w:pos="709"/>
        </w:tabs>
        <w:spacing w:after="200" w:line="276" w:lineRule="auto"/>
        <w:ind w:hanging="294"/>
        <w:jc w:val="both"/>
        <w:rPr>
          <w:rFonts w:ascii="Arial" w:eastAsia="Calibri" w:hAnsi="Arial" w:cs="Arial"/>
          <w:sz w:val="24"/>
          <w:szCs w:val="24"/>
          <w:lang w:eastAsia="en-US"/>
        </w:rPr>
      </w:pPr>
      <w:r w:rsidRPr="006A4EE4">
        <w:rPr>
          <w:rFonts w:ascii="Arial" w:eastAsia="Calibri" w:hAnsi="Arial" w:cs="Arial"/>
          <w:sz w:val="24"/>
          <w:szCs w:val="24"/>
          <w:lang w:eastAsia="en-US"/>
        </w:rPr>
        <w:t>Que haja uma equitativa representação dos aquíferos existentes na área, como: Cabeças, Serra Grande, Poti, Longá</w:t>
      </w:r>
      <w:r w:rsidRPr="006A4EE4">
        <w:rPr>
          <w:rFonts w:ascii="Arial" w:eastAsia="Calibri" w:hAnsi="Arial" w:cs="Arial"/>
          <w:color w:val="FF0000"/>
          <w:sz w:val="24"/>
          <w:szCs w:val="24"/>
          <w:lang w:eastAsia="en-US"/>
        </w:rPr>
        <w:t>,</w:t>
      </w:r>
      <w:r w:rsidRPr="006A4EE4">
        <w:rPr>
          <w:rFonts w:ascii="Arial" w:eastAsia="Calibri" w:hAnsi="Arial" w:cs="Arial"/>
          <w:sz w:val="24"/>
          <w:szCs w:val="24"/>
          <w:lang w:eastAsia="en-US"/>
        </w:rPr>
        <w:t xml:space="preserve"> Pedra de Fogo, etc;</w:t>
      </w:r>
    </w:p>
    <w:p w:rsidR="006A4EE4" w:rsidRPr="006A4EE4" w:rsidRDefault="006A4EE4" w:rsidP="00533722">
      <w:pPr>
        <w:numPr>
          <w:ilvl w:val="0"/>
          <w:numId w:val="5"/>
        </w:numPr>
        <w:spacing w:after="200" w:line="276" w:lineRule="auto"/>
        <w:ind w:right="-143"/>
        <w:jc w:val="both"/>
        <w:rPr>
          <w:rFonts w:ascii="Arial" w:eastAsia="Calibri" w:hAnsi="Arial" w:cs="Arial"/>
          <w:sz w:val="24"/>
          <w:szCs w:val="24"/>
          <w:lang w:eastAsia="en-US"/>
        </w:rPr>
      </w:pPr>
      <w:r w:rsidRPr="006A4EE4">
        <w:rPr>
          <w:rFonts w:ascii="Arial" w:eastAsia="Calibri" w:hAnsi="Arial" w:cs="Arial"/>
          <w:sz w:val="24"/>
          <w:szCs w:val="24"/>
          <w:lang w:eastAsia="en-US"/>
        </w:rPr>
        <w:t>Que o poço possua perfil lito-estratigráfico;</w:t>
      </w:r>
    </w:p>
    <w:p w:rsidR="006A4EE4" w:rsidRPr="006A4EE4" w:rsidRDefault="006A4EE4" w:rsidP="00533722">
      <w:pPr>
        <w:numPr>
          <w:ilvl w:val="0"/>
          <w:numId w:val="5"/>
        </w:numPr>
        <w:spacing w:after="200" w:line="276" w:lineRule="auto"/>
        <w:jc w:val="both"/>
        <w:rPr>
          <w:rFonts w:ascii="Arial" w:eastAsia="Calibri" w:hAnsi="Arial" w:cs="Arial"/>
          <w:sz w:val="24"/>
          <w:szCs w:val="24"/>
          <w:lang w:eastAsia="en-US"/>
        </w:rPr>
      </w:pPr>
      <w:r w:rsidRPr="006A4EE4">
        <w:rPr>
          <w:rFonts w:ascii="Arial" w:eastAsia="Calibri" w:hAnsi="Arial" w:cs="Arial"/>
          <w:sz w:val="24"/>
          <w:szCs w:val="24"/>
          <w:lang w:eastAsia="en-US"/>
        </w:rPr>
        <w:t>Que o poço esteja em funcionamento, dotado de bomba (preferencialmente submersa) não sendo aceito teste com compressor de ar;</w:t>
      </w:r>
    </w:p>
    <w:p w:rsidR="006A4EE4" w:rsidRPr="006A4EE4" w:rsidRDefault="006A4EE4" w:rsidP="00533722">
      <w:pPr>
        <w:numPr>
          <w:ilvl w:val="0"/>
          <w:numId w:val="5"/>
        </w:numPr>
        <w:spacing w:after="200" w:line="276" w:lineRule="auto"/>
        <w:jc w:val="both"/>
        <w:rPr>
          <w:rFonts w:ascii="Arial" w:eastAsia="Calibri" w:hAnsi="Arial" w:cs="Arial"/>
          <w:sz w:val="24"/>
          <w:szCs w:val="24"/>
          <w:lang w:eastAsia="en-US"/>
        </w:rPr>
      </w:pPr>
      <w:r w:rsidRPr="006A4EE4">
        <w:rPr>
          <w:rFonts w:ascii="Arial" w:eastAsia="Calibri" w:hAnsi="Arial" w:cs="Arial"/>
          <w:sz w:val="24"/>
          <w:szCs w:val="24"/>
          <w:lang w:eastAsia="en-US"/>
        </w:rPr>
        <w:t>Que o proprietário do poço permita a realização do teste de 24 horas, bem como a paralisação do bombeamento 12 horas antes e depois do teste.</w:t>
      </w:r>
    </w:p>
    <w:p w:rsidR="006A4EE4" w:rsidRPr="006A4EE4" w:rsidRDefault="006A4EE4" w:rsidP="006A4EE4">
      <w:pPr>
        <w:spacing w:after="200" w:line="276" w:lineRule="auto"/>
        <w:ind w:firstLine="709"/>
        <w:jc w:val="both"/>
        <w:rPr>
          <w:rFonts w:ascii="Arial" w:eastAsia="Calibri" w:hAnsi="Arial" w:cs="Arial"/>
          <w:sz w:val="24"/>
          <w:szCs w:val="24"/>
          <w:lang w:eastAsia="en-US"/>
        </w:rPr>
      </w:pPr>
      <w:r w:rsidRPr="006A4EE4">
        <w:rPr>
          <w:rFonts w:ascii="Arial" w:eastAsia="Calibri" w:hAnsi="Arial" w:cs="Arial"/>
          <w:sz w:val="24"/>
          <w:szCs w:val="24"/>
          <w:lang w:eastAsia="en-US"/>
        </w:rPr>
        <w:t>O teste de aquífero deverá ter a duração de pelo menos 24 horas ininterruptas, com vazão constante medida com escoamento de tubo de Pitot e bombeada com bomba submersa ou injetora. O ensaio de bombeamento deverá ser de múltiplas etapas, com pelo menos quatro etapas com duração de duas horas, as três primeiras etapas, e vazões respectivas de 0,25%Q, 0,50%Q e 0,75%Q e tendo a última etapa a vazão máxima da bomba (Q) e duração de 18 horas. Cessado o bombeamento, deverão ser anotados na mesma escala de medição dos rebaixamentos, a recuperação dos níveis, até a recuperação de 95% do Nível Estático registrado antes do início do teste.</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Após a realização do teste, deverá ser efetuada a sua interpretação e avaliados os parâmetros hidrodinâmicos do aquífero: coeficiente de Transmissividade, condutividade hidráulica (eventualmente também o coeficiente de armazenamento) e a equação característica do poço (geral e quadrática).</w:t>
      </w:r>
    </w:p>
    <w:p w:rsidR="006A4EE4" w:rsidRPr="006A4EE4" w:rsidRDefault="006A4EE4" w:rsidP="006A4EE4">
      <w:pPr>
        <w:spacing w:line="276" w:lineRule="auto"/>
        <w:ind w:firstLine="708"/>
        <w:jc w:val="both"/>
        <w:rPr>
          <w:rFonts w:ascii="Arial" w:eastAsia="Calibri" w:hAnsi="Arial" w:cs="Arial"/>
          <w:color w:val="548DD4"/>
          <w:sz w:val="24"/>
          <w:szCs w:val="24"/>
          <w:lang w:eastAsia="en-US"/>
        </w:rPr>
      </w:pPr>
      <w:r w:rsidRPr="006A4EE4">
        <w:rPr>
          <w:rFonts w:ascii="Arial" w:eastAsia="Calibri" w:hAnsi="Arial" w:cs="Arial"/>
          <w:sz w:val="24"/>
          <w:szCs w:val="24"/>
          <w:lang w:eastAsia="en-US"/>
        </w:rPr>
        <w:t>No caso de o número e distribuição dos valores de transmissividade sejam compatíveis, deverá ser apresentado um mapa de zoneamento de transmissividade do aquífero</w:t>
      </w:r>
      <w:r w:rsidRPr="006A4EE4">
        <w:rPr>
          <w:rFonts w:ascii="Arial" w:eastAsia="Calibri" w:hAnsi="Arial" w:cs="Arial"/>
          <w:color w:val="548DD4"/>
          <w:sz w:val="24"/>
          <w:szCs w:val="24"/>
          <w:lang w:eastAsia="en-US"/>
        </w:rPr>
        <w:t>.</w:t>
      </w:r>
    </w:p>
    <w:p w:rsidR="006A4EE4" w:rsidRPr="006A4EE4" w:rsidRDefault="006A4EE4" w:rsidP="006A4EE4">
      <w:pPr>
        <w:spacing w:line="276" w:lineRule="auto"/>
        <w:ind w:firstLine="708"/>
        <w:jc w:val="both"/>
        <w:rPr>
          <w:rFonts w:ascii="Arial" w:eastAsia="Calibri" w:hAnsi="Arial" w:cs="Arial"/>
          <w:color w:val="548DD4"/>
          <w:sz w:val="24"/>
          <w:szCs w:val="24"/>
          <w:u w:val="single" w:color="FFFFFF"/>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4.5.7. Avaliação das reservas, potencialidades, disponibilidades e recursos explotáveis: balanço hidrogeológico.</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Para cada aquífero estudado, sobretudo nas formações sedimentares, deverão ser avaliados os parâmetros quantitativos que irão permitir um dimensionamento das vazões explotáveis em poços perfurados ou a perfurar.</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As reservas compreendem o total acumulado na bacia sedimentar, levando-se em conta a geometria do aquífero, já devidamente equacionada nos estudos geológicos acima programados.</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 xml:space="preserve">A reserva reguladora corresponde ao volume de água que se infiltra sazonalmente no aquífero, consistindo, portanto, da recarga anual, que pode ser </w:t>
      </w:r>
      <w:r w:rsidRPr="006A4EE4">
        <w:rPr>
          <w:rFonts w:ascii="Arial" w:eastAsia="Calibri" w:hAnsi="Arial" w:cs="Arial"/>
          <w:sz w:val="24"/>
          <w:szCs w:val="24"/>
          <w:lang w:eastAsia="en-US"/>
        </w:rPr>
        <w:lastRenderedPageBreak/>
        <w:t xml:space="preserve">avaliada por distintos métodos, como o balanço hídrico (item 4.4), a avaliação da VEN (item 4.6.3), a flutuação dos níveis d’água nos poços ao longo do ano, dentre outros. </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A potencialidade deverá considerar que o volume das reservasexplotáveis pode ser utilizado levando em conta as obras já existentes e a manutenção da reserva ecológica dos rios.</w:t>
      </w:r>
    </w:p>
    <w:p w:rsidR="006A4EE4" w:rsidRPr="006A4EE4" w:rsidRDefault="006A4EE4" w:rsidP="006A4EE4">
      <w:pPr>
        <w:spacing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A disponibilidade corresponde aos volumes que já estão sendo extraídos do aquífero por obras existentes (poços, drenos, galerias, etc) devendo ser analisada a disponibilidade instalada que corresponde ao volume total de água que poderia ser extraída a partir dos poços instalados com bombeamento contínuo e a disponibilidade efetiva representada pelo volume de água realmente extraída a partir do conhecimento do regime de bombeamento dos poços da região.</w:t>
      </w:r>
    </w:p>
    <w:p w:rsidR="006A4EE4" w:rsidRPr="006A4EE4" w:rsidRDefault="006A4EE4" w:rsidP="006A4EE4">
      <w:pPr>
        <w:spacing w:line="276" w:lineRule="auto"/>
        <w:ind w:firstLine="708"/>
        <w:jc w:val="both"/>
        <w:rPr>
          <w:rFonts w:ascii="Arial" w:eastAsia="Calibri" w:hAnsi="Arial" w:cs="Arial"/>
          <w:sz w:val="24"/>
          <w:szCs w:val="24"/>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4.5.8. Realização de análises físico-químicas</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Em 100 poços selecionados dentre aqueles que compõem a rede de monitoramento quali-quantitativa citada em 4.5 deverão ser coletadas amostras em recipientes plásticos de 1.000 ml, para realização de análises físico-químicas e bacteriológicas.</w:t>
      </w:r>
    </w:p>
    <w:p w:rsidR="006A4EE4" w:rsidRPr="006A4EE4" w:rsidRDefault="006A4EE4" w:rsidP="006A4EE4">
      <w:pPr>
        <w:spacing w:after="200" w:line="276" w:lineRule="auto"/>
        <w:ind w:firstLine="748"/>
        <w:jc w:val="both"/>
        <w:rPr>
          <w:rFonts w:ascii="Arial" w:eastAsia="Calibri" w:hAnsi="Arial" w:cs="Arial"/>
          <w:sz w:val="24"/>
          <w:szCs w:val="24"/>
          <w:lang w:eastAsia="en-US"/>
        </w:rPr>
      </w:pPr>
      <w:r w:rsidRPr="006A4EE4">
        <w:rPr>
          <w:rFonts w:ascii="Arial" w:eastAsia="Calibri" w:hAnsi="Arial" w:cs="Arial"/>
          <w:sz w:val="24"/>
          <w:szCs w:val="24"/>
          <w:lang w:eastAsia="en-US"/>
        </w:rPr>
        <w:t xml:space="preserve">As análises físico-químicas deverão contemplar no mínimo os seguintes constituintes: pH, Eh, condutividade elétrica, sólidos totais dissolvidos, alcalinidade total, dureza total, cloretos, carbonatos, bicarbonatos, sulfatos, nitritos, nitratos, cálcio,sódio, magnésio, potássio e ferro. Os resultados apresentados deverão ser utilizados para dar a classificação química da água por diversos métodos como Piper e Stiff. </w:t>
      </w:r>
    </w:p>
    <w:p w:rsidR="006A4EE4" w:rsidRPr="006A4EE4" w:rsidRDefault="006A4EE4" w:rsidP="006A4EE4">
      <w:pPr>
        <w:spacing w:line="276" w:lineRule="auto"/>
        <w:ind w:firstLine="708"/>
        <w:jc w:val="both"/>
        <w:rPr>
          <w:rFonts w:ascii="Arial" w:eastAsia="Times New Roman" w:hAnsi="Arial" w:cs="Arial"/>
          <w:sz w:val="24"/>
          <w:szCs w:val="24"/>
          <w:lang w:eastAsia="pt-BR"/>
        </w:rPr>
      </w:pPr>
      <w:r w:rsidRPr="006A4EE4">
        <w:rPr>
          <w:rFonts w:ascii="Arial" w:eastAsia="Times New Roman" w:hAnsi="Arial" w:cs="Arial"/>
          <w:sz w:val="24"/>
          <w:szCs w:val="24"/>
          <w:lang w:eastAsia="pt-BR"/>
        </w:rPr>
        <w:t>Para os poços de monitoramento perfurados deverá ser feita a análise isotópicapara melhor caracterização e modelagem dos aquíferos caso a relação beneficio-custo seja favorável.</w:t>
      </w:r>
    </w:p>
    <w:p w:rsidR="006A4EE4" w:rsidRPr="006A4EE4" w:rsidRDefault="006A4EE4" w:rsidP="006A4EE4">
      <w:pPr>
        <w:ind w:firstLine="708"/>
        <w:jc w:val="both"/>
        <w:rPr>
          <w:rFonts w:ascii="Arial" w:eastAsia="Times New Roman" w:hAnsi="Arial" w:cs="Arial"/>
          <w:sz w:val="24"/>
          <w:szCs w:val="24"/>
          <w:lang w:eastAsia="pt-BR"/>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4.5.9. Avaliaçãoda vulnerabilidadedos aquíferos e do riscode contaminação</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Para cada aquífero localizado em áreas de intensa concentração populacional deverá ser realizado o mapa de vulnerabilidade natural, a partir do método DRASTIC se houver dados suficientes, ou do método GOD, ou outra metodologia a ser selecionada durante o andamento dos estudos.</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Considerando que, para que ocorra uma contaminação de um aquífero dois fatores devem ser observados, quais sejam a vulnerabilidade do aquífero e a presença de cargas contaminantes, o mapa de risco à contaminação deverá cruzar essas duas informações.</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lastRenderedPageBreak/>
        <w:t>Assim, deverão ser mapeadas as atividades antrópicas potencialmente poluidoras tanto em áreas urbanas, como lixões, cemitérios, postos de combustível, efluentes de esgotos, etc., como nas áreas industrializadas ou sujeitas a irrigação ou ainda a processos extrativos minerais.</w:t>
      </w: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4.5.10. Zoneamento de explotação: caracterização quali-quantitativa e econômica da água subterrânea.</w:t>
      </w:r>
    </w:p>
    <w:p w:rsidR="006A4EE4" w:rsidRPr="006A4EE4" w:rsidRDefault="006A4EE4" w:rsidP="006A4EE4">
      <w:pPr>
        <w:spacing w:after="200" w:line="276" w:lineRule="auto"/>
        <w:ind w:firstLine="709"/>
        <w:jc w:val="both"/>
        <w:rPr>
          <w:rFonts w:ascii="Arial" w:eastAsia="Calibri" w:hAnsi="Arial" w:cs="Arial"/>
          <w:sz w:val="24"/>
          <w:szCs w:val="24"/>
          <w:lang w:eastAsia="en-US"/>
        </w:rPr>
      </w:pPr>
      <w:r w:rsidRPr="006A4EE4">
        <w:rPr>
          <w:rFonts w:ascii="Arial" w:eastAsia="Calibri" w:hAnsi="Arial" w:cs="Arial"/>
          <w:sz w:val="24"/>
          <w:szCs w:val="24"/>
          <w:lang w:eastAsia="en-US"/>
        </w:rPr>
        <w:t>O zoneamento de explotação deverá ser realizado nas áreas onde o aquífero esteja sendo intensamente explotado constituindo um importante produto a ser fornecido para a gestão dos aquíferos, pois permitirá definir zonas com restrição de vazões explotáveis assim como zonas com risco de explotação em função da qualidade da água.</w:t>
      </w:r>
    </w:p>
    <w:p w:rsidR="006A4EE4" w:rsidRPr="006A4EE4" w:rsidRDefault="006A4EE4" w:rsidP="006A4EE4">
      <w:pPr>
        <w:spacing w:after="200" w:line="276" w:lineRule="auto"/>
        <w:ind w:firstLine="709"/>
        <w:jc w:val="both"/>
        <w:rPr>
          <w:rFonts w:ascii="Arial" w:eastAsia="Calibri" w:hAnsi="Arial" w:cs="Arial"/>
          <w:sz w:val="24"/>
          <w:szCs w:val="24"/>
          <w:lang w:eastAsia="en-US"/>
        </w:rPr>
      </w:pPr>
      <w:r w:rsidRPr="006A4EE4">
        <w:rPr>
          <w:rFonts w:ascii="Arial" w:eastAsia="Calibri" w:hAnsi="Arial" w:cs="Arial"/>
          <w:sz w:val="24"/>
          <w:szCs w:val="24"/>
          <w:lang w:eastAsia="en-US"/>
        </w:rPr>
        <w:t>O mapa de zoneamento deverá, portanto, levar em conta ambos os aspectos: quantitativo e qualitativo dos aquíferos em explotação.</w:t>
      </w:r>
    </w:p>
    <w:p w:rsidR="006A4EE4" w:rsidRPr="006A4EE4" w:rsidRDefault="006A4EE4" w:rsidP="006A4EE4">
      <w:pPr>
        <w:spacing w:line="276" w:lineRule="auto"/>
        <w:ind w:firstLine="709"/>
        <w:jc w:val="both"/>
        <w:rPr>
          <w:rFonts w:ascii="Arial" w:eastAsia="Calibri" w:hAnsi="Arial" w:cs="Arial"/>
          <w:sz w:val="24"/>
          <w:szCs w:val="24"/>
          <w:lang w:eastAsia="en-US"/>
        </w:rPr>
      </w:pPr>
      <w:r w:rsidRPr="006A4EE4">
        <w:rPr>
          <w:rFonts w:ascii="Arial" w:eastAsia="Calibri" w:hAnsi="Arial" w:cs="Arial"/>
          <w:sz w:val="24"/>
          <w:szCs w:val="24"/>
          <w:lang w:eastAsia="en-US"/>
        </w:rPr>
        <w:t>Além dos aspectos quali-quantitativos dos aquíferos, o mapa de zoneamento também considerará o valor econômico da água. Para cada tipo de aquífero, sob distintas condições de vazão fornecida e características do poço, será avaliado o custo do metro cúbico da água bombeada, devendo esse parâmetro constar também do mapa de explotação.</w:t>
      </w:r>
    </w:p>
    <w:p w:rsidR="006A4EE4" w:rsidRPr="006A4EE4" w:rsidRDefault="006A4EE4" w:rsidP="006A4EE4">
      <w:pPr>
        <w:spacing w:line="276" w:lineRule="auto"/>
        <w:ind w:firstLine="709"/>
        <w:jc w:val="both"/>
        <w:rPr>
          <w:rFonts w:ascii="Arial" w:eastAsia="Calibri" w:hAnsi="Arial" w:cs="Arial"/>
          <w:sz w:val="24"/>
          <w:szCs w:val="24"/>
          <w:lang w:eastAsia="en-US"/>
        </w:rPr>
      </w:pPr>
    </w:p>
    <w:p w:rsidR="006A4EE4" w:rsidRPr="006A4EE4" w:rsidRDefault="006A4EE4" w:rsidP="006A4EE4">
      <w:pPr>
        <w:spacing w:line="276" w:lineRule="auto"/>
        <w:ind w:firstLine="709"/>
        <w:jc w:val="both"/>
        <w:rPr>
          <w:rFonts w:ascii="Arial" w:eastAsia="Calibri" w:hAnsi="Arial" w:cs="Arial"/>
          <w:sz w:val="24"/>
          <w:szCs w:val="24"/>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4.6. Estudos a serem desenvolvidos na área de ocorrência dos aquíferos fissurais</w:t>
      </w: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4.6.1. Perfuração de poço</w:t>
      </w:r>
    </w:p>
    <w:p w:rsidR="006A4EE4" w:rsidRPr="006A4EE4" w:rsidRDefault="006A4EE4" w:rsidP="006A4EE4">
      <w:pPr>
        <w:spacing w:line="276" w:lineRule="auto"/>
        <w:ind w:firstLine="720"/>
        <w:jc w:val="both"/>
        <w:rPr>
          <w:rFonts w:ascii="Arial" w:eastAsia="Calibri" w:hAnsi="Arial" w:cs="Arial"/>
          <w:sz w:val="24"/>
          <w:szCs w:val="24"/>
          <w:lang w:eastAsia="en-US"/>
        </w:rPr>
      </w:pPr>
      <w:r w:rsidRPr="006A4EE4">
        <w:rPr>
          <w:rFonts w:ascii="Arial" w:eastAsia="Calibri" w:hAnsi="Arial" w:cs="Arial"/>
          <w:sz w:val="24"/>
          <w:szCs w:val="24"/>
          <w:lang w:eastAsia="en-US"/>
        </w:rPr>
        <w:t>Na área de ocorrência dos aquíferos fissurais deverá ser perfurado um poço tubular profundo, para monitoramento.</w:t>
      </w:r>
    </w:p>
    <w:p w:rsidR="006A4EE4" w:rsidRPr="006A4EE4" w:rsidRDefault="006A4EE4" w:rsidP="006A4EE4">
      <w:pPr>
        <w:spacing w:line="276" w:lineRule="auto"/>
        <w:ind w:firstLine="720"/>
        <w:jc w:val="both"/>
        <w:rPr>
          <w:rFonts w:ascii="Arial" w:eastAsia="Calibri" w:hAnsi="Arial" w:cs="Arial"/>
          <w:sz w:val="24"/>
          <w:szCs w:val="24"/>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4.6.2. Cadastramento dos poços da rede de monitoramento</w:t>
      </w:r>
    </w:p>
    <w:p w:rsidR="006A4EE4" w:rsidRPr="006A4EE4" w:rsidRDefault="006A4EE4" w:rsidP="006A4EE4">
      <w:pPr>
        <w:spacing w:after="200" w:line="276" w:lineRule="auto"/>
        <w:ind w:firstLine="748"/>
        <w:jc w:val="both"/>
        <w:rPr>
          <w:rFonts w:ascii="Arial" w:eastAsia="Calibri" w:hAnsi="Arial" w:cs="Arial"/>
          <w:sz w:val="24"/>
          <w:szCs w:val="24"/>
          <w:lang w:eastAsia="en-US"/>
        </w:rPr>
      </w:pPr>
      <w:r w:rsidRPr="006A4EE4">
        <w:rPr>
          <w:rFonts w:ascii="Arial" w:eastAsia="Calibri" w:hAnsi="Arial" w:cs="Arial"/>
          <w:sz w:val="24"/>
          <w:szCs w:val="24"/>
          <w:lang w:eastAsia="en-US"/>
        </w:rPr>
        <w:t>Nos poços selecionados na área de rochas cristalinas deverão ser também efetuados cadastros de campo, com preenchimento de uma ficha a ser previamente submetida pela licitante à contratante. Durante o cadastro deverão ser determinadas as coordenadas do poço por GPS de navegação e efetuadas medidas de nível e vazão dos poços assim como retirada uma amostra da água (nos poços instalados com bomba) e efetuada uma determinação da condutividade elétrica com condutivímetro portátil.</w:t>
      </w:r>
    </w:p>
    <w:p w:rsidR="006A4EE4" w:rsidRPr="006A4EE4" w:rsidRDefault="006A4EE4" w:rsidP="006A4EE4">
      <w:pPr>
        <w:spacing w:line="276" w:lineRule="auto"/>
        <w:ind w:firstLine="748"/>
        <w:jc w:val="both"/>
        <w:rPr>
          <w:rFonts w:ascii="Arial" w:eastAsia="Calibri" w:hAnsi="Arial" w:cs="Arial"/>
          <w:sz w:val="24"/>
          <w:szCs w:val="24"/>
          <w:lang w:eastAsia="en-US"/>
        </w:rPr>
      </w:pPr>
      <w:r w:rsidRPr="006A4EE4">
        <w:rPr>
          <w:rFonts w:ascii="Arial" w:eastAsia="Calibri" w:hAnsi="Arial" w:cs="Arial"/>
          <w:sz w:val="24"/>
          <w:szCs w:val="24"/>
          <w:lang w:eastAsia="en-US"/>
        </w:rPr>
        <w:t>Além da determinação da condutividade elétrica em todos os poços onde seja possível a coleta de água, alguns poços – em torno de 30 deverão ser selecionados para coleta de água para realização de análises físico-químicas em laboratórios.</w:t>
      </w:r>
    </w:p>
    <w:p w:rsidR="006A4EE4" w:rsidRPr="006A4EE4" w:rsidRDefault="006A4EE4" w:rsidP="006A4EE4">
      <w:pPr>
        <w:spacing w:line="276" w:lineRule="auto"/>
        <w:ind w:firstLine="748"/>
        <w:jc w:val="both"/>
        <w:rPr>
          <w:rFonts w:ascii="Arial" w:eastAsia="Calibri" w:hAnsi="Arial" w:cs="Arial"/>
          <w:sz w:val="24"/>
          <w:szCs w:val="24"/>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4.6.3. Avaliação das reservas, potencialidades, disponibilidades e recursos explotáveis: balanço hidrogeológico.</w:t>
      </w:r>
    </w:p>
    <w:p w:rsidR="006A4EE4" w:rsidRPr="006A4EE4" w:rsidRDefault="006A4EE4" w:rsidP="006A4EE4">
      <w:pPr>
        <w:spacing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Para o aquífero fissural poderão ser avaliados os parâmetros quantitativos, à exceção das reservas permanentes.</w:t>
      </w:r>
    </w:p>
    <w:p w:rsidR="006A4EE4" w:rsidRPr="006A4EE4" w:rsidRDefault="006A4EE4" w:rsidP="006A4EE4">
      <w:pPr>
        <w:spacing w:line="276" w:lineRule="auto"/>
        <w:ind w:firstLine="708"/>
        <w:jc w:val="both"/>
        <w:rPr>
          <w:rFonts w:ascii="Arial" w:eastAsia="Calibri" w:hAnsi="Arial" w:cs="Arial"/>
          <w:sz w:val="24"/>
          <w:szCs w:val="24"/>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4.6.4. Realização de análises físico-químicas</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Deverão ser selecionados no mínimo 50% dos 30 poços que compõem a rede de monitoramento quali-quantitativa, para serem coletadas amostras em recipientes plásticos de 1.000 ml, para realização de análises físico-químicas.</w:t>
      </w:r>
    </w:p>
    <w:p w:rsidR="006A4EE4" w:rsidRPr="006A4EE4" w:rsidRDefault="006A4EE4" w:rsidP="006A4EE4">
      <w:pPr>
        <w:spacing w:line="276" w:lineRule="auto"/>
        <w:ind w:firstLine="720"/>
        <w:jc w:val="both"/>
        <w:rPr>
          <w:rFonts w:ascii="Arial" w:eastAsia="Calibri" w:hAnsi="Arial" w:cs="Arial"/>
          <w:sz w:val="24"/>
          <w:szCs w:val="24"/>
          <w:lang w:eastAsia="en-US"/>
        </w:rPr>
      </w:pPr>
      <w:r w:rsidRPr="006A4EE4">
        <w:rPr>
          <w:rFonts w:ascii="Arial" w:eastAsia="Calibri" w:hAnsi="Arial" w:cs="Arial"/>
          <w:sz w:val="24"/>
          <w:szCs w:val="24"/>
          <w:lang w:eastAsia="en-US"/>
        </w:rPr>
        <w:t>As análises físico-químicas deverão contemplar, no mínimo os seguintes constituintes: pH, Eh, condutividade elétrica, sólidos totais dissolvidos, alcalinidade total, dureza total, cloretos, carbonatos, bicarbonatos, sulfatos, nitritos, nitratos, cálcio,sódio, magnésio, potássio e ferro.</w:t>
      </w:r>
    </w:p>
    <w:p w:rsidR="006A4EE4" w:rsidRPr="006A4EE4" w:rsidRDefault="006A4EE4" w:rsidP="006A4EE4">
      <w:pPr>
        <w:spacing w:line="276" w:lineRule="auto"/>
        <w:ind w:firstLine="720"/>
        <w:jc w:val="both"/>
        <w:rPr>
          <w:rFonts w:ascii="Arial" w:eastAsia="Calibri" w:hAnsi="Arial" w:cs="Arial"/>
          <w:b/>
          <w:sz w:val="24"/>
          <w:szCs w:val="24"/>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4.6.5. Definição das condições de recarga, circulação e descargas</w:t>
      </w:r>
    </w:p>
    <w:p w:rsidR="006A4EE4" w:rsidRPr="006A4EE4" w:rsidRDefault="006A4EE4" w:rsidP="006A4EE4">
      <w:pPr>
        <w:spacing w:line="276" w:lineRule="auto"/>
        <w:ind w:firstLine="709"/>
        <w:jc w:val="both"/>
        <w:rPr>
          <w:rFonts w:ascii="Arial" w:eastAsia="Calibri" w:hAnsi="Arial" w:cs="Arial"/>
          <w:sz w:val="24"/>
          <w:szCs w:val="24"/>
          <w:lang w:eastAsia="en-US"/>
        </w:rPr>
      </w:pPr>
      <w:r w:rsidRPr="006A4EE4">
        <w:rPr>
          <w:rFonts w:ascii="Arial" w:eastAsia="Calibri" w:hAnsi="Arial" w:cs="Arial"/>
          <w:sz w:val="24"/>
          <w:szCs w:val="24"/>
          <w:lang w:eastAsia="en-US"/>
        </w:rPr>
        <w:t>Os dados fundamentais do fluxo subterrâneo nesses aquíferos deverão ser devidamente caracterizados através da recarga, circulação, descarga (exutórios naturais e artificiais).</w:t>
      </w:r>
    </w:p>
    <w:p w:rsidR="006A4EE4" w:rsidRPr="006A4EE4" w:rsidRDefault="006A4EE4" w:rsidP="006A4EE4">
      <w:pPr>
        <w:spacing w:line="276" w:lineRule="auto"/>
        <w:ind w:firstLine="709"/>
        <w:jc w:val="both"/>
        <w:rPr>
          <w:rFonts w:ascii="Arial" w:eastAsia="Calibri" w:hAnsi="Arial" w:cs="Arial"/>
          <w:sz w:val="24"/>
          <w:szCs w:val="24"/>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5. Diagnóstico Geral dos Recursos Hídricos Subterrâneos</w:t>
      </w:r>
    </w:p>
    <w:p w:rsidR="006A4EE4" w:rsidRPr="006A4EE4" w:rsidRDefault="006A4EE4" w:rsidP="006A4EE4">
      <w:pPr>
        <w:spacing w:line="276" w:lineRule="auto"/>
        <w:ind w:firstLine="709"/>
        <w:jc w:val="both"/>
        <w:rPr>
          <w:rFonts w:ascii="Arial" w:eastAsia="Calibri" w:hAnsi="Arial" w:cs="Arial"/>
          <w:sz w:val="24"/>
          <w:szCs w:val="24"/>
          <w:lang w:eastAsia="en-US"/>
        </w:rPr>
      </w:pPr>
      <w:r w:rsidRPr="006A4EE4">
        <w:rPr>
          <w:rFonts w:ascii="Arial" w:eastAsia="Calibri" w:hAnsi="Arial" w:cs="Arial"/>
          <w:sz w:val="24"/>
          <w:szCs w:val="24"/>
          <w:lang w:eastAsia="en-US"/>
        </w:rPr>
        <w:t>Uma vez elaborados os estudos hidrogeológicos acima descritos nos Itens 4.5 e 4.6, para os aquíferos existentes na região, será elaborado o diagnóstico hidrogeológico da área que contemplará todas as conclusões acerca das condições de recarga, circulação e exutórios dos aquíferos, suas potencialidades, disponibilidades e recursos explotáveis e a qualidade química das suas águas.</w:t>
      </w: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Default="006A4EE4" w:rsidP="006A4EE4">
      <w:pPr>
        <w:widowControl w:val="0"/>
        <w:spacing w:after="200" w:line="360" w:lineRule="auto"/>
        <w:jc w:val="both"/>
      </w:pPr>
    </w:p>
    <w:p w:rsidR="006A4EE4" w:rsidRPr="006A4EE4" w:rsidRDefault="006A4EE4" w:rsidP="006A4EE4">
      <w:pPr>
        <w:keepNext/>
        <w:spacing w:before="240" w:after="60" w:line="276" w:lineRule="auto"/>
        <w:ind w:firstLine="709"/>
        <w:jc w:val="both"/>
        <w:outlineLvl w:val="2"/>
        <w:rPr>
          <w:rFonts w:ascii="Arial" w:eastAsia="Times New Roman" w:hAnsi="Arial" w:cs="Arial"/>
          <w:b/>
          <w:bCs/>
          <w:sz w:val="24"/>
          <w:szCs w:val="24"/>
          <w:lang w:eastAsia="en-US"/>
        </w:rPr>
      </w:pPr>
      <w:r w:rsidRPr="006A4EE4">
        <w:rPr>
          <w:rFonts w:ascii="Arial" w:eastAsia="Times New Roman" w:hAnsi="Arial" w:cs="Arial"/>
          <w:b/>
          <w:bCs/>
          <w:sz w:val="24"/>
          <w:szCs w:val="24"/>
          <w:lang w:eastAsia="en-US"/>
        </w:rPr>
        <w:lastRenderedPageBreak/>
        <w:t>6.Proposta de modelo de gestão das águas subterrâneas na região CE-NO</w:t>
      </w:r>
    </w:p>
    <w:p w:rsidR="006A4EE4" w:rsidRPr="006A4EE4" w:rsidRDefault="006A4EE4" w:rsidP="006A4EE4">
      <w:pPr>
        <w:spacing w:after="200" w:line="276" w:lineRule="auto"/>
        <w:jc w:val="both"/>
        <w:rPr>
          <w:rFonts w:ascii="Arial" w:eastAsia="Calibri" w:hAnsi="Arial" w:cs="Arial"/>
          <w:b/>
          <w:sz w:val="24"/>
          <w:szCs w:val="24"/>
          <w:lang w:eastAsia="en-US"/>
        </w:rPr>
      </w:pPr>
    </w:p>
    <w:p w:rsidR="006A4EE4" w:rsidRPr="006A4EE4" w:rsidRDefault="006A4EE4" w:rsidP="006A4EE4">
      <w:pPr>
        <w:spacing w:after="120" w:line="276" w:lineRule="auto"/>
        <w:ind w:firstLine="709"/>
        <w:jc w:val="both"/>
        <w:rPr>
          <w:rFonts w:ascii="Arial" w:eastAsia="Calibri" w:hAnsi="Arial" w:cs="Arial"/>
          <w:sz w:val="24"/>
          <w:szCs w:val="24"/>
          <w:lang w:eastAsia="en-US"/>
        </w:rPr>
      </w:pPr>
      <w:r w:rsidRPr="006A4EE4">
        <w:rPr>
          <w:rFonts w:ascii="Arial" w:eastAsia="Calibri" w:hAnsi="Arial" w:cs="Arial"/>
          <w:sz w:val="24"/>
          <w:szCs w:val="24"/>
          <w:lang w:eastAsia="en-US"/>
        </w:rPr>
        <w:t>Levando-se em conta todo o conhecimento técnico levantado no âmbito desses estudos e de outras pesquisas relacionadas, assim como toda a legislação vigente e considerandoasformasestratégias de uso e proteção das águas subterrâneasutilizadas nesse estudo, a CONSULTORA deve elaboraruma proposta de modelo de gestão das águas subterrâneas na RMSL.Essa proposta deve contemplar os seguintes pontos:</w:t>
      </w:r>
    </w:p>
    <w:p w:rsidR="006A4EE4" w:rsidRPr="006A4EE4" w:rsidRDefault="006A4EE4" w:rsidP="00533722">
      <w:pPr>
        <w:numPr>
          <w:ilvl w:val="0"/>
          <w:numId w:val="6"/>
        </w:numPr>
        <w:spacing w:after="120" w:line="276" w:lineRule="auto"/>
        <w:ind w:left="0" w:firstLine="0"/>
        <w:contextualSpacing/>
        <w:jc w:val="both"/>
        <w:rPr>
          <w:rFonts w:ascii="Arial" w:eastAsia="Times New Roman" w:hAnsi="Arial" w:cs="Arial"/>
          <w:sz w:val="24"/>
          <w:szCs w:val="24"/>
          <w:lang w:eastAsia="pt-BR"/>
        </w:rPr>
      </w:pPr>
      <w:r w:rsidRPr="006A4EE4">
        <w:rPr>
          <w:rFonts w:ascii="Arial" w:eastAsia="Times New Roman" w:hAnsi="Arial" w:cs="Arial"/>
          <w:sz w:val="24"/>
          <w:szCs w:val="24"/>
          <w:lang w:eastAsia="pt-BR"/>
        </w:rPr>
        <w:t>Complementar, caso se avalie necessário, a legislação vigente (incluindo normativas dos Conselhos Nacional e Estadual de Recursos Hídricos) para controlar o uso e a preservação das águas subterrâneas, considerando a gestão dos aquíferos em questão;</w:t>
      </w:r>
    </w:p>
    <w:p w:rsidR="006A4EE4" w:rsidRPr="006A4EE4" w:rsidRDefault="006A4EE4" w:rsidP="00533722">
      <w:pPr>
        <w:numPr>
          <w:ilvl w:val="0"/>
          <w:numId w:val="6"/>
        </w:numPr>
        <w:spacing w:after="120" w:line="276" w:lineRule="auto"/>
        <w:ind w:left="0" w:firstLine="0"/>
        <w:contextualSpacing/>
        <w:jc w:val="both"/>
        <w:rPr>
          <w:rFonts w:ascii="Arial" w:eastAsia="Times New Roman" w:hAnsi="Arial" w:cs="Arial"/>
          <w:sz w:val="24"/>
          <w:szCs w:val="24"/>
          <w:lang w:eastAsia="pt-BR"/>
        </w:rPr>
      </w:pPr>
      <w:r w:rsidRPr="006A4EE4">
        <w:rPr>
          <w:rFonts w:ascii="Arial" w:eastAsia="Times New Roman" w:hAnsi="Arial" w:cs="Arial"/>
          <w:sz w:val="24"/>
          <w:szCs w:val="24"/>
          <w:lang w:eastAsia="pt-BR"/>
        </w:rPr>
        <w:t>Propor diretrizes para a normatização para a gestão dos recursos hídricos subterrâneos, abordando, minimamente, os seguintes aspectos: mecanismo institucional de gestão, licenciamentos, outorga, fiscalização, cobrança pelo uso da água, critérios para o estabelecimento de zonas de restrição e controle, diretrizes para a recarga artificial (caso necessário), aplicação de sanções e penalidades;</w:t>
      </w:r>
    </w:p>
    <w:p w:rsidR="006A4EE4" w:rsidRPr="006A4EE4" w:rsidRDefault="006A4EE4" w:rsidP="00533722">
      <w:pPr>
        <w:numPr>
          <w:ilvl w:val="0"/>
          <w:numId w:val="6"/>
        </w:numPr>
        <w:spacing w:after="120" w:line="276" w:lineRule="auto"/>
        <w:ind w:left="0" w:firstLine="0"/>
        <w:contextualSpacing/>
        <w:jc w:val="both"/>
        <w:rPr>
          <w:rFonts w:ascii="Arial" w:eastAsia="Times New Roman" w:hAnsi="Arial" w:cs="Arial"/>
          <w:sz w:val="24"/>
          <w:szCs w:val="24"/>
          <w:lang w:eastAsia="pt-BR"/>
        </w:rPr>
      </w:pPr>
      <w:r w:rsidRPr="006A4EE4">
        <w:rPr>
          <w:rFonts w:ascii="Arial" w:eastAsia="Times New Roman" w:hAnsi="Arial" w:cs="Arial"/>
          <w:sz w:val="24"/>
          <w:szCs w:val="24"/>
          <w:lang w:eastAsia="pt-BR"/>
        </w:rPr>
        <w:t>Propor mecanismos para a articulação da gestão de recursos hídricos aos instrumentos de gestão territorial (planos diretores locais);</w:t>
      </w:r>
    </w:p>
    <w:p w:rsidR="006A4EE4" w:rsidRPr="006A4EE4" w:rsidRDefault="006A4EE4" w:rsidP="00533722">
      <w:pPr>
        <w:numPr>
          <w:ilvl w:val="0"/>
          <w:numId w:val="6"/>
        </w:numPr>
        <w:spacing w:after="120" w:line="276" w:lineRule="auto"/>
        <w:ind w:left="0" w:firstLine="0"/>
        <w:contextualSpacing/>
        <w:jc w:val="both"/>
        <w:rPr>
          <w:rFonts w:ascii="Arial" w:eastAsia="Times New Roman" w:hAnsi="Arial" w:cs="Arial"/>
          <w:sz w:val="24"/>
          <w:szCs w:val="24"/>
          <w:lang w:eastAsia="pt-BR"/>
        </w:rPr>
      </w:pPr>
      <w:r w:rsidRPr="006A4EE4">
        <w:rPr>
          <w:rFonts w:ascii="Arial" w:eastAsia="Times New Roman" w:hAnsi="Arial" w:cs="Arial"/>
          <w:sz w:val="24"/>
          <w:szCs w:val="24"/>
          <w:lang w:eastAsia="pt-BR"/>
        </w:rPr>
        <w:t>Propor um plano de monitoramento das águas subterrâneas da região CE-NO. Neste deverá ser apresentada a seleção de poços para a implantação de sensores telemétricos para medição dos níveis de águas e condutividade elétrica. Na proposta deverão ser estipulados os parâmetros, metodologias de análise e frequências de amostragens em função do uso e ocupação dos solos e dos resultados da rede qualitativa deste trabalho;</w:t>
      </w:r>
    </w:p>
    <w:p w:rsidR="006A4EE4" w:rsidRPr="006A4EE4" w:rsidRDefault="006A4EE4" w:rsidP="00533722">
      <w:pPr>
        <w:numPr>
          <w:ilvl w:val="0"/>
          <w:numId w:val="6"/>
        </w:numPr>
        <w:spacing w:after="120" w:line="276" w:lineRule="auto"/>
        <w:ind w:left="0" w:firstLine="0"/>
        <w:contextualSpacing/>
        <w:jc w:val="both"/>
        <w:rPr>
          <w:rFonts w:ascii="Arial" w:eastAsia="Times New Roman" w:hAnsi="Arial" w:cs="Arial"/>
          <w:sz w:val="24"/>
          <w:szCs w:val="24"/>
          <w:lang w:eastAsia="pt-BR"/>
        </w:rPr>
      </w:pPr>
      <w:r w:rsidRPr="006A4EE4">
        <w:rPr>
          <w:rFonts w:ascii="Arial" w:eastAsia="Times New Roman" w:hAnsi="Arial" w:cs="Arial"/>
          <w:sz w:val="24"/>
          <w:szCs w:val="24"/>
          <w:lang w:eastAsia="pt-BR"/>
        </w:rPr>
        <w:t>Indicação de Áreas de Proteção de Zonas de Recarga de Aquífero, com a confecção de mapa na escala 1:250.000;</w:t>
      </w:r>
    </w:p>
    <w:p w:rsidR="006A4EE4" w:rsidRPr="006A4EE4" w:rsidRDefault="006A4EE4" w:rsidP="00533722">
      <w:pPr>
        <w:numPr>
          <w:ilvl w:val="0"/>
          <w:numId w:val="6"/>
        </w:numPr>
        <w:spacing w:after="120" w:line="276" w:lineRule="auto"/>
        <w:ind w:left="0" w:firstLine="0"/>
        <w:contextualSpacing/>
        <w:jc w:val="both"/>
        <w:rPr>
          <w:rFonts w:ascii="Arial" w:eastAsia="Times New Roman" w:hAnsi="Arial" w:cs="Arial"/>
          <w:sz w:val="24"/>
          <w:szCs w:val="24"/>
          <w:lang w:eastAsia="pt-BR"/>
        </w:rPr>
      </w:pPr>
      <w:r w:rsidRPr="006A4EE4">
        <w:rPr>
          <w:rFonts w:ascii="Arial" w:eastAsia="Times New Roman" w:hAnsi="Arial" w:cs="Arial"/>
          <w:sz w:val="24"/>
          <w:szCs w:val="24"/>
          <w:lang w:eastAsia="pt-BR"/>
        </w:rPr>
        <w:t>Indicação de possíveis Áreas de Restrição e Controle com justificativas técnicas, visando à proteção de mananciais para o abastecimento humano, dessedentação de animais, preservação dos ecossistemas, áreas com iminente perigo de contaminação e áreas com superexplotação;</w:t>
      </w:r>
    </w:p>
    <w:p w:rsidR="006A4EE4" w:rsidRPr="006A4EE4" w:rsidRDefault="006A4EE4" w:rsidP="00533722">
      <w:pPr>
        <w:numPr>
          <w:ilvl w:val="0"/>
          <w:numId w:val="6"/>
        </w:numPr>
        <w:spacing w:after="120" w:line="276" w:lineRule="auto"/>
        <w:ind w:left="0" w:firstLine="0"/>
        <w:contextualSpacing/>
        <w:jc w:val="both"/>
        <w:rPr>
          <w:rFonts w:ascii="Arial" w:eastAsia="Times New Roman" w:hAnsi="Arial" w:cs="Arial"/>
          <w:sz w:val="24"/>
          <w:szCs w:val="24"/>
          <w:lang w:eastAsia="pt-BR"/>
        </w:rPr>
      </w:pPr>
      <w:r w:rsidRPr="006A4EE4">
        <w:rPr>
          <w:rFonts w:ascii="Arial" w:eastAsia="Times New Roman" w:hAnsi="Arial" w:cs="Arial"/>
          <w:sz w:val="24"/>
          <w:szCs w:val="24"/>
          <w:lang w:eastAsia="pt-BR"/>
        </w:rPr>
        <w:t>Indicação de medidas relacionadas à melhoria da infraestrutura hídrica e de saneamento de forma a minimizar os impactos deletérios na qualidade das águas subterrâneas;</w:t>
      </w:r>
    </w:p>
    <w:p w:rsidR="006A4EE4" w:rsidRPr="006A4EE4" w:rsidRDefault="006A4EE4" w:rsidP="00533722">
      <w:pPr>
        <w:numPr>
          <w:ilvl w:val="0"/>
          <w:numId w:val="6"/>
        </w:numPr>
        <w:spacing w:after="120" w:line="276" w:lineRule="auto"/>
        <w:ind w:left="0" w:firstLine="0"/>
        <w:contextualSpacing/>
        <w:jc w:val="both"/>
        <w:rPr>
          <w:rFonts w:ascii="Arial" w:eastAsia="Times New Roman" w:hAnsi="Arial" w:cs="Arial"/>
          <w:sz w:val="24"/>
          <w:szCs w:val="24"/>
          <w:lang w:eastAsia="pt-BR"/>
        </w:rPr>
      </w:pPr>
      <w:r w:rsidRPr="006A4EE4">
        <w:rPr>
          <w:rFonts w:ascii="Arial" w:eastAsia="Times New Roman" w:hAnsi="Arial" w:cs="Arial"/>
          <w:sz w:val="24"/>
          <w:szCs w:val="24"/>
          <w:lang w:eastAsia="pt-BR"/>
        </w:rPr>
        <w:t>Em relação aos aspectos institucionais atuais deverá apresentar propostas para aperfeiçoar o quadro de pessoal técnico de nível superior e médio, para o correto desempenho das ações de acompanhamento técnico, realização de estudos, fiscalização de campo, dentre outras atividades, inclusive relacionada à outorga do uso da água subterrânea, tanto do órgão gestor estadual quanto dos municípios;</w:t>
      </w:r>
    </w:p>
    <w:p w:rsidR="006A4EE4" w:rsidRPr="006A4EE4" w:rsidRDefault="006A4EE4" w:rsidP="00533722">
      <w:pPr>
        <w:numPr>
          <w:ilvl w:val="0"/>
          <w:numId w:val="6"/>
        </w:numPr>
        <w:spacing w:after="120" w:line="276" w:lineRule="auto"/>
        <w:ind w:left="0" w:firstLine="0"/>
        <w:contextualSpacing/>
        <w:jc w:val="both"/>
        <w:rPr>
          <w:rFonts w:ascii="Arial" w:eastAsia="Times New Roman" w:hAnsi="Arial" w:cs="Arial"/>
          <w:sz w:val="24"/>
          <w:szCs w:val="24"/>
          <w:lang w:eastAsia="pt-BR"/>
        </w:rPr>
      </w:pPr>
      <w:r w:rsidRPr="006A4EE4">
        <w:rPr>
          <w:rFonts w:ascii="Arial" w:eastAsia="Times New Roman" w:hAnsi="Arial" w:cs="Arial"/>
          <w:sz w:val="24"/>
          <w:szCs w:val="24"/>
          <w:lang w:eastAsia="pt-BR"/>
        </w:rPr>
        <w:lastRenderedPageBreak/>
        <w:t>Complementar os dados e informações no sistema estadual de informações de recursos hídricos (SEIRH) para melhor servir ao próprio órgão gestor, como também ao usuário da água, que deverá ser disponibilizado via internet;</w:t>
      </w:r>
    </w:p>
    <w:p w:rsidR="006A4EE4" w:rsidRPr="006A4EE4" w:rsidRDefault="006A4EE4" w:rsidP="00533722">
      <w:pPr>
        <w:numPr>
          <w:ilvl w:val="0"/>
          <w:numId w:val="6"/>
        </w:numPr>
        <w:spacing w:after="120" w:line="276" w:lineRule="auto"/>
        <w:ind w:left="0" w:firstLine="0"/>
        <w:contextualSpacing/>
        <w:jc w:val="both"/>
        <w:rPr>
          <w:rFonts w:ascii="Arial" w:eastAsia="Times New Roman" w:hAnsi="Arial" w:cs="Arial"/>
          <w:sz w:val="24"/>
          <w:szCs w:val="24"/>
          <w:lang w:eastAsia="pt-BR"/>
        </w:rPr>
      </w:pPr>
      <w:r w:rsidRPr="006A4EE4">
        <w:rPr>
          <w:rFonts w:ascii="Arial" w:eastAsia="Times New Roman" w:hAnsi="Arial" w:cs="Arial"/>
          <w:sz w:val="24"/>
          <w:szCs w:val="24"/>
          <w:lang w:eastAsia="pt-BR"/>
        </w:rPr>
        <w:t>Indicar a partir do cadastro de poços realizado os poços abandonados e/ou desativados sem condições estruturais, improdutivos ou cuja operação induza a perda de qualidade das águas e que medidas devem ser tomadas;</w:t>
      </w:r>
    </w:p>
    <w:p w:rsidR="006A4EE4" w:rsidRPr="006A4EE4" w:rsidRDefault="006A4EE4" w:rsidP="00533722">
      <w:pPr>
        <w:numPr>
          <w:ilvl w:val="0"/>
          <w:numId w:val="6"/>
        </w:numPr>
        <w:spacing w:after="120" w:line="276" w:lineRule="auto"/>
        <w:ind w:left="0" w:firstLine="0"/>
        <w:contextualSpacing/>
        <w:jc w:val="both"/>
        <w:rPr>
          <w:rFonts w:ascii="Arial" w:eastAsia="Times New Roman" w:hAnsi="Arial" w:cs="Arial"/>
          <w:sz w:val="24"/>
          <w:szCs w:val="24"/>
          <w:lang w:eastAsia="pt-BR"/>
        </w:rPr>
      </w:pPr>
      <w:r w:rsidRPr="006A4EE4">
        <w:rPr>
          <w:rFonts w:ascii="Arial" w:eastAsia="Times New Roman" w:hAnsi="Arial" w:cs="Arial"/>
          <w:sz w:val="24"/>
          <w:szCs w:val="24"/>
          <w:lang w:eastAsia="pt-BR"/>
        </w:rPr>
        <w:t>Sugestões e indicações de como melhor aproveitar os poços atuais da(s) concessionárias;</w:t>
      </w:r>
    </w:p>
    <w:p w:rsidR="006A4EE4" w:rsidRPr="006A4EE4" w:rsidRDefault="006A4EE4" w:rsidP="00533722">
      <w:pPr>
        <w:numPr>
          <w:ilvl w:val="0"/>
          <w:numId w:val="6"/>
        </w:numPr>
        <w:spacing w:after="120" w:line="276" w:lineRule="auto"/>
        <w:ind w:left="0" w:firstLine="0"/>
        <w:contextualSpacing/>
        <w:jc w:val="both"/>
        <w:rPr>
          <w:rFonts w:ascii="Arial" w:eastAsia="Times New Roman" w:hAnsi="Arial" w:cs="Arial"/>
          <w:sz w:val="24"/>
          <w:szCs w:val="24"/>
          <w:lang w:eastAsia="pt-BR"/>
        </w:rPr>
      </w:pPr>
      <w:r w:rsidRPr="006A4EE4">
        <w:rPr>
          <w:rFonts w:ascii="Arial" w:eastAsia="Times New Roman" w:hAnsi="Arial" w:cs="Arial"/>
          <w:sz w:val="24"/>
          <w:szCs w:val="24"/>
          <w:lang w:eastAsia="pt-BR"/>
        </w:rPr>
        <w:t>Apresentar alternativas de incremento ou não do uso da água subterrânea na matriz de abastecimento da região CE-NO, assim como uma proposta de rede de monitoramento quali-quantitativo das águas subterrâneas a ser mantida pelo Estado do Tocantins.</w:t>
      </w:r>
    </w:p>
    <w:p w:rsidR="006A4EE4" w:rsidRPr="006A4EE4" w:rsidRDefault="006A4EE4" w:rsidP="006A4EE4">
      <w:pPr>
        <w:spacing w:after="200" w:line="276" w:lineRule="auto"/>
        <w:ind w:firstLine="748"/>
        <w:jc w:val="both"/>
        <w:rPr>
          <w:rFonts w:ascii="Arial" w:eastAsia="Calibri" w:hAnsi="Arial" w:cs="Arial"/>
          <w:sz w:val="24"/>
          <w:szCs w:val="24"/>
          <w:lang w:eastAsia="en-US"/>
        </w:rPr>
      </w:pPr>
      <w:r w:rsidRPr="006A4EE4">
        <w:rPr>
          <w:rFonts w:ascii="Arial" w:eastAsia="Calibri" w:hAnsi="Arial" w:cs="Arial"/>
          <w:sz w:val="24"/>
          <w:szCs w:val="24"/>
          <w:lang w:eastAsia="en-US"/>
        </w:rPr>
        <w:t>Os estudos hidrogeológicos a serem executados deverão se constituir em ferramenta imprescindível em planos e programas de gestão dos recursos hídricos do Estado.</w:t>
      </w:r>
    </w:p>
    <w:p w:rsidR="006A4EE4" w:rsidRPr="006A4EE4" w:rsidRDefault="006A4EE4" w:rsidP="006A4EE4">
      <w:pPr>
        <w:keepNext/>
        <w:tabs>
          <w:tab w:val="left" w:pos="144"/>
          <w:tab w:val="left" w:pos="864"/>
          <w:tab w:val="left" w:pos="1584"/>
          <w:tab w:val="left" w:pos="2304"/>
          <w:tab w:val="left" w:pos="3024"/>
          <w:tab w:val="left" w:pos="3744"/>
          <w:tab w:val="left" w:pos="4464"/>
          <w:tab w:val="left" w:pos="5184"/>
          <w:tab w:val="left" w:pos="5904"/>
          <w:tab w:val="left" w:pos="6624"/>
        </w:tabs>
        <w:spacing w:before="120" w:after="120" w:line="360" w:lineRule="auto"/>
        <w:ind w:left="720" w:hanging="360"/>
        <w:outlineLvl w:val="0"/>
        <w:rPr>
          <w:rFonts w:ascii="Arial" w:eastAsia="Times New Roman" w:hAnsi="Arial" w:cs="Arial"/>
          <w:b/>
          <w:bCs/>
          <w:kern w:val="32"/>
          <w:sz w:val="24"/>
          <w:szCs w:val="24"/>
          <w:lang w:eastAsia="pt-BR"/>
        </w:rPr>
      </w:pPr>
      <w:bookmarkStart w:id="2" w:name="_Toc370995075"/>
      <w:r w:rsidRPr="006A4EE4">
        <w:rPr>
          <w:rFonts w:ascii="Arial" w:eastAsia="Times New Roman" w:hAnsi="Arial" w:cs="Arial"/>
          <w:b/>
          <w:bCs/>
          <w:kern w:val="32"/>
          <w:sz w:val="24"/>
          <w:szCs w:val="24"/>
          <w:lang w:eastAsia="pt-BR"/>
        </w:rPr>
        <w:t>7. SISTEMATIZAÇÃO E ENTREGA DOS DADOS</w:t>
      </w:r>
      <w:bookmarkEnd w:id="2"/>
    </w:p>
    <w:p w:rsidR="006A4EE4" w:rsidRPr="006A4EE4" w:rsidRDefault="006A4EE4" w:rsidP="006A4EE4">
      <w:pPr>
        <w:spacing w:after="120" w:line="276" w:lineRule="auto"/>
        <w:ind w:firstLine="360"/>
        <w:jc w:val="both"/>
        <w:rPr>
          <w:rFonts w:ascii="Arial" w:eastAsia="Calibri" w:hAnsi="Arial" w:cs="Arial"/>
          <w:sz w:val="24"/>
          <w:szCs w:val="24"/>
          <w:lang w:eastAsia="en-US"/>
        </w:rPr>
      </w:pPr>
      <w:r w:rsidRPr="006A4EE4">
        <w:rPr>
          <w:rFonts w:ascii="Arial" w:eastAsia="Calibri" w:hAnsi="Arial" w:cs="Arial"/>
          <w:sz w:val="24"/>
          <w:szCs w:val="24"/>
          <w:lang w:eastAsia="en-US"/>
        </w:rPr>
        <w:t xml:space="preserve">Todas as informações primárias e secundárias levantadas devem ser compiladas e armazenadas em meio digital em um banco de dados no </w:t>
      </w:r>
      <w:r w:rsidRPr="006A4EE4">
        <w:rPr>
          <w:rFonts w:ascii="Arial" w:eastAsia="Calibri" w:hAnsi="Arial" w:cs="Arial"/>
          <w:i/>
          <w:sz w:val="24"/>
          <w:szCs w:val="24"/>
          <w:lang w:eastAsia="en-US"/>
        </w:rPr>
        <w:t>ArcGis</w:t>
      </w:r>
      <w:r w:rsidRPr="006A4EE4">
        <w:rPr>
          <w:rFonts w:ascii="Arial" w:eastAsia="Calibri" w:hAnsi="Arial" w:cs="Arial"/>
          <w:sz w:val="24"/>
          <w:szCs w:val="24"/>
          <w:lang w:eastAsia="en-US"/>
        </w:rPr>
        <w:t xml:space="preserve"> 10.1 (</w:t>
      </w:r>
      <w:r w:rsidRPr="006A4EE4">
        <w:rPr>
          <w:rFonts w:ascii="Arial" w:eastAsia="Calibri" w:hAnsi="Arial" w:cs="Arial"/>
          <w:i/>
          <w:sz w:val="24"/>
          <w:szCs w:val="24"/>
          <w:lang w:eastAsia="en-US"/>
        </w:rPr>
        <w:t>filegeodatabase</w:t>
      </w:r>
      <w:r w:rsidRPr="006A4EE4">
        <w:rPr>
          <w:rFonts w:ascii="Arial" w:eastAsia="Calibri" w:hAnsi="Arial" w:cs="Arial"/>
          <w:sz w:val="24"/>
          <w:szCs w:val="24"/>
          <w:lang w:eastAsia="en-US"/>
        </w:rPr>
        <w:t>), apto a permitir a consulta das informações, a geração de novos mapas, assim como a atualização de informações</w:t>
      </w:r>
      <w:r w:rsidRPr="006A4EE4">
        <w:rPr>
          <w:rFonts w:ascii="Arial" w:eastAsia="Calibri" w:hAnsi="Arial" w:cs="Arial"/>
          <w:iCs/>
          <w:sz w:val="24"/>
          <w:szCs w:val="24"/>
          <w:lang w:eastAsia="en-US"/>
        </w:rPr>
        <w:t>. Os dados de poços e nascentes cadastrados no âmbito desses estudos e compilados de estudos anteriores, assim como informações relativas às licenças de perfuração de poços e de outorga de uso de águas subterrâneas, disponibilizados pelo NATURATINS e/ou obtidos no âmbito desses estudos, deverão ser incluídos pela CONTRATADA no Sistema de Águas Subterrâneas (SAS) da ANA.</w:t>
      </w:r>
    </w:p>
    <w:p w:rsidR="006A4EE4" w:rsidRPr="006A4EE4" w:rsidRDefault="006A4EE4" w:rsidP="006A4EE4">
      <w:pPr>
        <w:spacing w:after="120" w:line="276" w:lineRule="auto"/>
        <w:ind w:firstLine="360"/>
        <w:jc w:val="both"/>
        <w:rPr>
          <w:rFonts w:ascii="Arial" w:eastAsia="Calibri" w:hAnsi="Arial" w:cs="Arial"/>
          <w:sz w:val="24"/>
          <w:szCs w:val="24"/>
          <w:lang w:eastAsia="en-US"/>
        </w:rPr>
      </w:pPr>
      <w:r w:rsidRPr="006A4EE4">
        <w:rPr>
          <w:rFonts w:ascii="Arial" w:eastAsia="Calibri" w:hAnsi="Arial" w:cs="Arial"/>
          <w:sz w:val="24"/>
          <w:szCs w:val="24"/>
          <w:lang w:eastAsia="en-US"/>
        </w:rPr>
        <w:t>Os dados brutos e processados devem ser entregues em planilhas e incluídos como anexo nos relatórios parciais correspondentes.</w:t>
      </w:r>
    </w:p>
    <w:p w:rsidR="006A4EE4" w:rsidRPr="006A4EE4" w:rsidRDefault="006A4EE4" w:rsidP="006A4EE4">
      <w:pPr>
        <w:spacing w:after="120" w:line="276" w:lineRule="auto"/>
        <w:ind w:firstLine="360"/>
        <w:jc w:val="both"/>
        <w:rPr>
          <w:rFonts w:ascii="Arial" w:eastAsia="Calibri" w:hAnsi="Arial" w:cs="Arial"/>
          <w:sz w:val="24"/>
          <w:szCs w:val="24"/>
          <w:lang w:eastAsia="en-US"/>
        </w:rPr>
      </w:pPr>
      <w:r w:rsidRPr="006A4EE4">
        <w:rPr>
          <w:rFonts w:ascii="Arial" w:eastAsia="Calibri" w:hAnsi="Arial" w:cs="Arial"/>
          <w:sz w:val="24"/>
          <w:szCs w:val="24"/>
          <w:lang w:eastAsia="en-US"/>
        </w:rPr>
        <w:t xml:space="preserve">O </w:t>
      </w:r>
      <w:r w:rsidRPr="006A4EE4">
        <w:rPr>
          <w:rFonts w:ascii="Arial" w:eastAsia="Calibri" w:hAnsi="Arial" w:cs="Arial"/>
          <w:i/>
          <w:sz w:val="24"/>
          <w:szCs w:val="24"/>
          <w:lang w:eastAsia="en-US"/>
        </w:rPr>
        <w:t>Datum</w:t>
      </w:r>
      <w:r w:rsidRPr="006A4EE4">
        <w:rPr>
          <w:rFonts w:ascii="Arial" w:eastAsia="Calibri" w:hAnsi="Arial" w:cs="Arial"/>
          <w:sz w:val="24"/>
          <w:szCs w:val="24"/>
          <w:lang w:eastAsia="en-US"/>
        </w:rPr>
        <w:t xml:space="preserve"> de referência para a construção desse banco de dados, confecção dos mapas e para a aquisição de dados primários no âmbito desses estudos será o SIRGAS 2000 (planimétrico) e Imbituba (altimétrico) adotado pelo IBGE como </w:t>
      </w:r>
      <w:r w:rsidRPr="006A4EE4">
        <w:rPr>
          <w:rFonts w:ascii="Arial" w:eastAsia="Calibri" w:hAnsi="Arial" w:cs="Arial"/>
          <w:i/>
          <w:sz w:val="24"/>
          <w:szCs w:val="24"/>
          <w:lang w:eastAsia="en-US"/>
        </w:rPr>
        <w:t>Datum</w:t>
      </w:r>
      <w:r w:rsidRPr="006A4EE4">
        <w:rPr>
          <w:rFonts w:ascii="Arial" w:eastAsia="Calibri" w:hAnsi="Arial" w:cs="Arial"/>
          <w:sz w:val="24"/>
          <w:szCs w:val="24"/>
          <w:lang w:eastAsia="en-US"/>
        </w:rPr>
        <w:t xml:space="preserve"> do Sistema Geodésico Brasileiro.</w:t>
      </w:r>
    </w:p>
    <w:p w:rsidR="006A4EE4" w:rsidRPr="006A4EE4" w:rsidRDefault="006A4EE4" w:rsidP="006A4EE4">
      <w:pPr>
        <w:spacing w:after="120" w:line="276" w:lineRule="auto"/>
        <w:ind w:firstLine="709"/>
        <w:jc w:val="both"/>
        <w:rPr>
          <w:rFonts w:ascii="Arial" w:eastAsia="Calibri" w:hAnsi="Arial" w:cs="Arial"/>
          <w:sz w:val="24"/>
          <w:szCs w:val="24"/>
          <w:lang w:eastAsia="en-US"/>
        </w:rPr>
      </w:pPr>
      <w:r w:rsidRPr="006A4EE4">
        <w:rPr>
          <w:rFonts w:ascii="Arial" w:eastAsia="Calibri" w:hAnsi="Arial" w:cs="Arial"/>
          <w:sz w:val="24"/>
          <w:szCs w:val="24"/>
          <w:lang w:eastAsia="en-US"/>
        </w:rPr>
        <w:t>O banco de dados deve estar organizado por temas, onde devem ser incluídos todos os dados e informações obtidos nos estudos ou compilados de estudos anteriores (análise, fotografia, gráficos, mapas, modelos). Quanto aos dados vetoriais, estes devem compor uma base de dados em ambiente SIG em que seja possível visualizá-los, conjuntamente com os diversos planos de informação que serão produzidos no âmbito do trabalho a que se referem estes TDRs, e editá-los.</w:t>
      </w:r>
    </w:p>
    <w:p w:rsidR="006A4EE4" w:rsidRPr="006A4EE4" w:rsidRDefault="006A4EE4" w:rsidP="006A4EE4">
      <w:pPr>
        <w:spacing w:after="120" w:line="276" w:lineRule="auto"/>
        <w:ind w:firstLine="709"/>
        <w:jc w:val="both"/>
        <w:rPr>
          <w:rFonts w:ascii="Arial" w:eastAsia="Calibri" w:hAnsi="Arial" w:cs="Arial"/>
          <w:sz w:val="24"/>
          <w:szCs w:val="24"/>
          <w:lang w:eastAsia="en-US"/>
        </w:rPr>
      </w:pPr>
      <w:r w:rsidRPr="006A4EE4">
        <w:rPr>
          <w:rFonts w:ascii="Arial" w:eastAsia="Calibri" w:hAnsi="Arial" w:cs="Arial"/>
          <w:sz w:val="24"/>
          <w:szCs w:val="24"/>
          <w:lang w:eastAsia="en-US"/>
        </w:rPr>
        <w:tab/>
        <w:t xml:space="preserve">Esse ambiente de armazenamento de dados e informações possibilitará o processamento ágil e eficiente das informações georreferenciadas, </w:t>
      </w:r>
      <w:r w:rsidRPr="006A4EE4">
        <w:rPr>
          <w:rFonts w:ascii="Arial" w:eastAsia="Calibri" w:hAnsi="Arial" w:cs="Arial"/>
          <w:sz w:val="24"/>
          <w:szCs w:val="24"/>
          <w:lang w:eastAsia="en-US"/>
        </w:rPr>
        <w:lastRenderedPageBreak/>
        <w:t>bem como a visualização e comparação de resultados contribuindo para o suporte à decisão na gestão de recursos hídricos subterrâneos.</w:t>
      </w:r>
    </w:p>
    <w:p w:rsidR="006A4EE4" w:rsidRPr="006A4EE4" w:rsidRDefault="006A4EE4" w:rsidP="006A4EE4">
      <w:pPr>
        <w:spacing w:after="120" w:line="276" w:lineRule="auto"/>
        <w:ind w:firstLine="709"/>
        <w:jc w:val="both"/>
        <w:rPr>
          <w:rFonts w:ascii="Arial" w:eastAsia="Calibri" w:hAnsi="Arial" w:cs="Arial"/>
          <w:sz w:val="24"/>
          <w:szCs w:val="24"/>
          <w:lang w:eastAsia="en-US"/>
        </w:rPr>
      </w:pPr>
      <w:r w:rsidRPr="006A4EE4">
        <w:rPr>
          <w:rFonts w:ascii="Arial" w:eastAsia="Calibri" w:hAnsi="Arial" w:cs="Arial"/>
          <w:sz w:val="24"/>
          <w:szCs w:val="24"/>
          <w:lang w:eastAsia="en-US"/>
        </w:rPr>
        <w:t xml:space="preserve">Salienta-se que todos os mapas solicitados nos TDRs deverão ser elaborados em ambiente </w:t>
      </w:r>
      <w:r w:rsidRPr="006A4EE4">
        <w:rPr>
          <w:rFonts w:ascii="Arial" w:eastAsia="Calibri" w:hAnsi="Arial" w:cs="Arial"/>
          <w:i/>
          <w:sz w:val="24"/>
          <w:szCs w:val="24"/>
          <w:lang w:eastAsia="en-US"/>
        </w:rPr>
        <w:t xml:space="preserve">ArcGis </w:t>
      </w:r>
      <w:r w:rsidRPr="006A4EE4">
        <w:rPr>
          <w:rFonts w:ascii="Arial" w:eastAsia="Calibri" w:hAnsi="Arial" w:cs="Arial"/>
          <w:sz w:val="24"/>
          <w:szCs w:val="24"/>
          <w:lang w:eastAsia="en-US"/>
        </w:rPr>
        <w:t xml:space="preserve">10.1 em escala 1:250.000, de forma a compor o Sistema de Informação Geográfica – SIG da Região CE-NO, em diferentes camadas temáticas no tamanho A3. A entrega dos mapas deve ser feita em papel (cinco vias) e em meio digital (formato PDF e </w:t>
      </w:r>
      <w:r w:rsidRPr="006A4EE4">
        <w:rPr>
          <w:rFonts w:ascii="Arial" w:eastAsia="Calibri" w:hAnsi="Arial" w:cs="Arial"/>
          <w:i/>
          <w:sz w:val="24"/>
          <w:szCs w:val="24"/>
          <w:lang w:eastAsia="en-US"/>
        </w:rPr>
        <w:t>ArcGis</w:t>
      </w:r>
      <w:r w:rsidRPr="006A4EE4">
        <w:rPr>
          <w:rFonts w:ascii="Arial" w:eastAsia="Calibri" w:hAnsi="Arial" w:cs="Arial"/>
          <w:sz w:val="24"/>
          <w:szCs w:val="24"/>
          <w:lang w:eastAsia="en-US"/>
        </w:rPr>
        <w:t>).</w:t>
      </w:r>
    </w:p>
    <w:p w:rsidR="006A4EE4" w:rsidRPr="006A4EE4" w:rsidRDefault="006A4EE4" w:rsidP="006A4EE4">
      <w:pPr>
        <w:spacing w:after="120" w:line="276" w:lineRule="auto"/>
        <w:ind w:firstLine="709"/>
        <w:jc w:val="both"/>
        <w:rPr>
          <w:rFonts w:ascii="Arial" w:eastAsia="Calibri" w:hAnsi="Arial" w:cs="Arial"/>
          <w:sz w:val="24"/>
          <w:szCs w:val="24"/>
          <w:lang w:eastAsia="en-US"/>
        </w:rPr>
      </w:pPr>
      <w:r w:rsidRPr="006A4EE4">
        <w:rPr>
          <w:rFonts w:ascii="Arial" w:eastAsia="Calibri" w:hAnsi="Arial" w:cs="Arial"/>
          <w:sz w:val="24"/>
          <w:szCs w:val="24"/>
          <w:lang w:eastAsia="en-US"/>
        </w:rPr>
        <w:tab/>
      </w:r>
    </w:p>
    <w:p w:rsidR="006A4EE4" w:rsidRPr="006A4EE4" w:rsidRDefault="006A4EE4" w:rsidP="006A4EE4">
      <w:pPr>
        <w:keepNext/>
        <w:tabs>
          <w:tab w:val="left" w:pos="144"/>
          <w:tab w:val="left" w:pos="864"/>
          <w:tab w:val="left" w:pos="1584"/>
          <w:tab w:val="left" w:pos="2304"/>
          <w:tab w:val="left" w:pos="3024"/>
          <w:tab w:val="left" w:pos="3744"/>
          <w:tab w:val="left" w:pos="4464"/>
          <w:tab w:val="left" w:pos="5184"/>
          <w:tab w:val="left" w:pos="5904"/>
          <w:tab w:val="left" w:pos="6624"/>
        </w:tabs>
        <w:spacing w:before="120" w:after="120" w:line="360" w:lineRule="auto"/>
        <w:ind w:left="720" w:hanging="360"/>
        <w:outlineLvl w:val="0"/>
        <w:rPr>
          <w:rFonts w:ascii="Arial" w:eastAsia="Times New Roman" w:hAnsi="Arial" w:cs="Arial"/>
          <w:b/>
          <w:bCs/>
          <w:kern w:val="32"/>
          <w:sz w:val="24"/>
          <w:szCs w:val="24"/>
          <w:lang w:eastAsia="pt-BR"/>
        </w:rPr>
      </w:pPr>
      <w:bookmarkStart w:id="3" w:name="_Toc370995076"/>
      <w:r w:rsidRPr="006A4EE4">
        <w:rPr>
          <w:rFonts w:ascii="Arial" w:eastAsia="Times New Roman" w:hAnsi="Arial" w:cs="Arial"/>
          <w:b/>
          <w:bCs/>
          <w:kern w:val="32"/>
          <w:sz w:val="24"/>
          <w:szCs w:val="24"/>
          <w:lang w:eastAsia="pt-BR"/>
        </w:rPr>
        <w:t>8.  RELATÓRIOS E PRODUTOS ESPERADOS</w:t>
      </w:r>
      <w:bookmarkEnd w:id="3"/>
    </w:p>
    <w:p w:rsidR="006A4EE4" w:rsidRPr="006A4EE4" w:rsidRDefault="006A4EE4" w:rsidP="006A4EE4">
      <w:pPr>
        <w:spacing w:after="120" w:line="276" w:lineRule="auto"/>
        <w:ind w:firstLine="705"/>
        <w:jc w:val="both"/>
        <w:rPr>
          <w:rFonts w:ascii="Arial" w:eastAsia="Calibri" w:hAnsi="Arial" w:cs="Arial"/>
          <w:sz w:val="24"/>
          <w:szCs w:val="24"/>
          <w:lang w:eastAsia="en-US"/>
        </w:rPr>
      </w:pPr>
      <w:r w:rsidRPr="006A4EE4">
        <w:rPr>
          <w:rFonts w:ascii="Arial" w:eastAsia="Calibri" w:hAnsi="Arial" w:cs="Arial"/>
          <w:sz w:val="24"/>
          <w:szCs w:val="24"/>
          <w:lang w:eastAsia="en-US"/>
        </w:rPr>
        <w:t>Os relatórios parciais (descritos a seguir), relatório final deverão ser apresentados à SEMADES na forma digital (CD-ROM ou DVD) e impressos (incluindo texto e anexos), em 5 (cinco) vias, após aprovação pela Contratante. Nesses relatórios devem constar a descrição de todas as atividades realizadas, comentários e críticas sobre as metodologias e resultados Estratégias de Uso e Proteção das Águas Subterrâneas alcançados, produtos na forma georreferenciada, planilhas, anexos, registros fotográficos e todos os outros tópicos ressaltados e solicitados em cada subitem especificamente.</w:t>
      </w:r>
    </w:p>
    <w:p w:rsidR="006A4EE4" w:rsidRPr="006A4EE4" w:rsidRDefault="006A4EE4" w:rsidP="006A4EE4">
      <w:pPr>
        <w:spacing w:after="120" w:line="276" w:lineRule="auto"/>
        <w:ind w:firstLine="705"/>
        <w:jc w:val="both"/>
        <w:rPr>
          <w:rFonts w:ascii="Arial" w:eastAsia="Calibri" w:hAnsi="Arial" w:cs="Arial"/>
          <w:sz w:val="24"/>
          <w:szCs w:val="24"/>
          <w:lang w:eastAsia="en-US"/>
        </w:rPr>
      </w:pPr>
      <w:r w:rsidRPr="006A4EE4">
        <w:rPr>
          <w:rFonts w:ascii="Arial" w:eastAsia="Calibri" w:hAnsi="Arial" w:cs="Arial"/>
          <w:sz w:val="24"/>
          <w:szCs w:val="24"/>
          <w:lang w:eastAsia="en-US"/>
        </w:rPr>
        <w:t>Esses relatórios serão considerados como referência do cumprimento das atividades exigidas dentro do prazo estabelecido, bem como da qualidade dos serviços. A análise de tais documentos por parte da SEMADES irá referendar ou não os trabalhos executados, podendo, ser solicitada a reformulação destes Produtos sem custos adicionais para a CONTRATANTE.</w:t>
      </w:r>
    </w:p>
    <w:p w:rsidR="006A4EE4" w:rsidRPr="006A4EE4" w:rsidRDefault="006A4EE4" w:rsidP="006A4EE4">
      <w:pPr>
        <w:spacing w:after="120" w:line="276" w:lineRule="auto"/>
        <w:ind w:firstLine="720"/>
        <w:jc w:val="both"/>
        <w:rPr>
          <w:rFonts w:ascii="Arial" w:eastAsia="Calibri" w:hAnsi="Arial" w:cs="Arial"/>
          <w:sz w:val="24"/>
          <w:szCs w:val="24"/>
          <w:lang w:eastAsia="en-US"/>
        </w:rPr>
      </w:pPr>
      <w:r w:rsidRPr="006A4EE4">
        <w:rPr>
          <w:rFonts w:ascii="Arial" w:eastAsia="Calibri" w:hAnsi="Arial" w:cs="Arial"/>
          <w:sz w:val="24"/>
          <w:szCs w:val="24"/>
          <w:lang w:eastAsia="en-US"/>
        </w:rPr>
        <w:t>A apresentação de todo o conhecimento gerado nesses estudos deve ser descrito em relatório, de forma didática e clara, com utilização de métodos consagrados na literatura, sempre citando e referenciando trabalhos anteriores de acordo com o tema em questão. É necessário conter gráficos, tabelas, fórmulas, ilustrações (mapas, diagramas, perfis, fotografias) que ilustrem as metodologias e considerações empregadas desde a obtenção dos dados até a fase de interpretação e conclusões.</w:t>
      </w:r>
    </w:p>
    <w:p w:rsidR="006A4EE4" w:rsidRPr="006A4EE4" w:rsidRDefault="006A4EE4" w:rsidP="006A4EE4">
      <w:pPr>
        <w:spacing w:after="120" w:line="276" w:lineRule="auto"/>
        <w:ind w:firstLine="720"/>
        <w:jc w:val="both"/>
        <w:rPr>
          <w:rFonts w:ascii="Arial" w:eastAsia="Calibri" w:hAnsi="Arial" w:cs="Arial"/>
          <w:sz w:val="24"/>
          <w:szCs w:val="24"/>
          <w:lang w:eastAsia="en-US"/>
        </w:rPr>
      </w:pPr>
      <w:r w:rsidRPr="006A4EE4">
        <w:rPr>
          <w:rFonts w:ascii="Arial" w:eastAsia="Calibri" w:hAnsi="Arial" w:cs="Arial"/>
          <w:sz w:val="24"/>
          <w:szCs w:val="24"/>
          <w:lang w:eastAsia="en-US"/>
        </w:rPr>
        <w:t>As versões finais (aprovadas) dos produtos entregues devem ter as seguintes características mínimas:</w:t>
      </w:r>
    </w:p>
    <w:p w:rsidR="006A4EE4" w:rsidRPr="006A4EE4" w:rsidRDefault="006A4EE4" w:rsidP="00533722">
      <w:pPr>
        <w:numPr>
          <w:ilvl w:val="0"/>
          <w:numId w:val="6"/>
        </w:numPr>
        <w:spacing w:after="120" w:line="276" w:lineRule="auto"/>
        <w:ind w:left="0" w:firstLine="0"/>
        <w:contextualSpacing/>
        <w:jc w:val="both"/>
        <w:rPr>
          <w:rFonts w:ascii="Arial" w:eastAsia="Times New Roman" w:hAnsi="Arial" w:cs="Arial"/>
          <w:sz w:val="24"/>
          <w:szCs w:val="24"/>
          <w:lang w:eastAsia="pt-BR"/>
        </w:rPr>
      </w:pPr>
      <w:r w:rsidRPr="006A4EE4">
        <w:rPr>
          <w:rFonts w:ascii="Arial" w:eastAsia="Times New Roman" w:hAnsi="Arial" w:cs="Arial"/>
          <w:sz w:val="24"/>
          <w:szCs w:val="24"/>
          <w:lang w:eastAsia="pt-BR"/>
        </w:rPr>
        <w:t>Relatórios Parciais: Papel sulfite 90g alcalino em formato A4. Encadernação em espiral de arame, capa de acrílico transparente, contra-capa em papel couche sem brilho de 63gr onde deve conter o título dos estudos, número/nome do relatório, mês de entrega e logomarca oficial da SEMADES e da empresa ou consórcio responsável pelos estudos e uma figura/foto da área de estudos como fundo ou enquadrada. Capa final de plástico opaca.</w:t>
      </w:r>
    </w:p>
    <w:p w:rsidR="006A4EE4" w:rsidRPr="006A4EE4" w:rsidRDefault="006A4EE4" w:rsidP="00533722">
      <w:pPr>
        <w:numPr>
          <w:ilvl w:val="0"/>
          <w:numId w:val="6"/>
        </w:numPr>
        <w:spacing w:after="120" w:line="276" w:lineRule="auto"/>
        <w:ind w:left="0" w:firstLine="0"/>
        <w:contextualSpacing/>
        <w:jc w:val="both"/>
        <w:rPr>
          <w:rFonts w:ascii="Arial" w:eastAsia="Times New Roman" w:hAnsi="Arial" w:cs="Arial"/>
          <w:sz w:val="24"/>
          <w:szCs w:val="24"/>
          <w:lang w:eastAsia="pt-BR"/>
        </w:rPr>
      </w:pPr>
      <w:r w:rsidRPr="006A4EE4">
        <w:rPr>
          <w:rFonts w:ascii="Arial" w:eastAsia="Times New Roman" w:hAnsi="Arial" w:cs="Arial"/>
          <w:sz w:val="24"/>
          <w:szCs w:val="24"/>
          <w:lang w:eastAsia="pt-BR"/>
        </w:rPr>
        <w:t xml:space="preserve">Relatório Final: Papel couche sem brilho 120g. Encadernação em capa dura com costura, o título do trabalho com arte gráfica que inclua uma imagem da região </w:t>
      </w:r>
      <w:r w:rsidRPr="006A4EE4">
        <w:rPr>
          <w:rFonts w:ascii="Arial" w:eastAsia="Times New Roman" w:hAnsi="Arial" w:cs="Arial"/>
          <w:sz w:val="24"/>
          <w:szCs w:val="24"/>
          <w:lang w:eastAsia="pt-BR"/>
        </w:rPr>
        <w:lastRenderedPageBreak/>
        <w:t>a ser selecionada em comum acordo com a SEMADES. Este relatório poderá ser entregue em pelo menos dois tomos, separados por temas, a ser decido em comum acordo entre a CONSULTORA e a SEMADES.</w:t>
      </w:r>
    </w:p>
    <w:p w:rsidR="006A4EE4" w:rsidRPr="006A4EE4" w:rsidRDefault="006A4EE4" w:rsidP="00533722">
      <w:pPr>
        <w:numPr>
          <w:ilvl w:val="0"/>
          <w:numId w:val="6"/>
        </w:numPr>
        <w:spacing w:after="120" w:line="276" w:lineRule="auto"/>
        <w:ind w:left="0" w:firstLine="0"/>
        <w:contextualSpacing/>
        <w:jc w:val="both"/>
        <w:rPr>
          <w:rFonts w:ascii="Arial" w:eastAsia="Times New Roman" w:hAnsi="Arial" w:cs="Arial"/>
          <w:sz w:val="24"/>
          <w:szCs w:val="24"/>
          <w:lang w:eastAsia="pt-BR"/>
        </w:rPr>
      </w:pPr>
      <w:r w:rsidRPr="006A4EE4">
        <w:rPr>
          <w:rFonts w:ascii="Arial" w:eastAsia="Times New Roman" w:hAnsi="Arial" w:cs="Arial"/>
          <w:sz w:val="24"/>
          <w:szCs w:val="24"/>
          <w:lang w:eastAsia="pt-BR"/>
        </w:rPr>
        <w:t>Cópia digital: As cópias digitais dos relatórios parciais devem estar coladas na parte interna da capa final dos relatórios. Na mídia (CD ou DVD) deve conter etiqueta ou impressão de identificação semelhante àquela impressa na capa do relatório correspondente.</w:t>
      </w:r>
    </w:p>
    <w:p w:rsidR="006A4EE4" w:rsidRPr="006A4EE4" w:rsidRDefault="006A4EE4" w:rsidP="00533722">
      <w:pPr>
        <w:numPr>
          <w:ilvl w:val="0"/>
          <w:numId w:val="6"/>
        </w:numPr>
        <w:spacing w:after="120" w:line="276" w:lineRule="auto"/>
        <w:ind w:left="0" w:firstLine="0"/>
        <w:contextualSpacing/>
        <w:jc w:val="both"/>
        <w:rPr>
          <w:rFonts w:ascii="Arial" w:eastAsia="Times New Roman" w:hAnsi="Arial" w:cs="Arial"/>
          <w:sz w:val="24"/>
          <w:szCs w:val="24"/>
          <w:lang w:eastAsia="pt-BR"/>
        </w:rPr>
      </w:pPr>
      <w:r w:rsidRPr="006A4EE4">
        <w:rPr>
          <w:rFonts w:ascii="Arial" w:eastAsia="Times New Roman" w:hAnsi="Arial" w:cs="Arial"/>
          <w:sz w:val="24"/>
          <w:szCs w:val="24"/>
          <w:lang w:eastAsia="pt-BR"/>
        </w:rPr>
        <w:t>Mapas: os mapas devem ser elaborados em escala 1:250.000 segundo padrões mínimos e referências praticados pela ANA. A impressão deve ser feita em papel de qualidade, no tamanho A3. Todos os mapas devem ser encadernados por tema e armazenados em caixa de capa dura forrada com capa semelhante a do relatório final.</w:t>
      </w:r>
    </w:p>
    <w:p w:rsidR="006A4EE4" w:rsidRPr="006A4EE4" w:rsidRDefault="006A4EE4" w:rsidP="006A4EE4">
      <w:pPr>
        <w:spacing w:after="120" w:line="276" w:lineRule="auto"/>
        <w:ind w:firstLine="705"/>
        <w:jc w:val="both"/>
        <w:rPr>
          <w:rFonts w:ascii="Arial" w:eastAsia="Calibri" w:hAnsi="Arial" w:cs="Arial"/>
          <w:sz w:val="24"/>
          <w:szCs w:val="24"/>
          <w:lang w:eastAsia="en-US"/>
        </w:rPr>
      </w:pPr>
      <w:r w:rsidRPr="006A4EE4">
        <w:rPr>
          <w:rFonts w:ascii="Arial" w:eastAsia="Calibri" w:hAnsi="Arial" w:cs="Arial"/>
          <w:sz w:val="24"/>
          <w:szCs w:val="24"/>
          <w:lang w:eastAsia="en-US"/>
        </w:rPr>
        <w:t>É importante destacar que todos os dados e produtos gerados no âmbito deste trabalho serão de propriedade exclusiva da SEMADES, sendo vedadas a reprodução e distribuição do conteúdo sem a prévia e expressa autorização da SEMADES, até que seja dada publicidade aos mesmos.</w:t>
      </w:r>
    </w:p>
    <w:p w:rsidR="006A4EE4" w:rsidRPr="006A4EE4" w:rsidRDefault="006A4EE4" w:rsidP="006A4EE4">
      <w:pPr>
        <w:spacing w:after="120" w:line="276" w:lineRule="auto"/>
        <w:ind w:firstLine="705"/>
        <w:jc w:val="both"/>
        <w:rPr>
          <w:rFonts w:ascii="Arial" w:eastAsia="Calibri" w:hAnsi="Arial" w:cs="Arial"/>
          <w:sz w:val="24"/>
          <w:szCs w:val="24"/>
          <w:lang w:eastAsia="en-US"/>
        </w:rPr>
      </w:pPr>
      <w:r w:rsidRPr="006A4EE4">
        <w:rPr>
          <w:rFonts w:ascii="Arial" w:eastAsia="Calibri" w:hAnsi="Arial" w:cs="Arial"/>
          <w:sz w:val="24"/>
          <w:szCs w:val="24"/>
          <w:lang w:eastAsia="en-US"/>
        </w:rPr>
        <w:t>Ao todo deverão ser entregues cinco vias dos relatórios parciais e mídia digital correspondente e oito vias do relatório final, e mídias digitais correspondentes e mapas previstos, conforme descritos a seguir:</w:t>
      </w:r>
    </w:p>
    <w:p w:rsidR="006A4EE4" w:rsidRPr="006A4EE4" w:rsidRDefault="006A4EE4" w:rsidP="006A4EE4">
      <w:pPr>
        <w:widowControl w:val="0"/>
        <w:ind w:firstLine="709"/>
        <w:jc w:val="both"/>
        <w:rPr>
          <w:rFonts w:ascii="Arial" w:eastAsia="Times New Roman" w:hAnsi="Arial" w:cs="Arial"/>
          <w:b/>
          <w:sz w:val="24"/>
          <w:szCs w:val="24"/>
          <w:lang w:eastAsia="pt-BR"/>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9. PRODUTOS</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Como resultados do desenvolvimento das atividades propostas deverão ser apresentados os seguintes produtos:</w:t>
      </w:r>
    </w:p>
    <w:p w:rsidR="006A4EE4" w:rsidRPr="006A4EE4" w:rsidRDefault="006A4EE4" w:rsidP="006A4EE4">
      <w:pPr>
        <w:spacing w:after="200" w:line="276" w:lineRule="auto"/>
        <w:ind w:firstLine="708"/>
        <w:jc w:val="both"/>
        <w:rPr>
          <w:rFonts w:ascii="Arial" w:eastAsia="Calibri" w:hAnsi="Arial" w:cs="Arial"/>
          <w:sz w:val="24"/>
          <w:szCs w:val="24"/>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9.1. Plano de Trabalho Detalhado;</w:t>
      </w:r>
    </w:p>
    <w:p w:rsidR="006A4EE4" w:rsidRPr="006A4EE4" w:rsidRDefault="006A4EE4" w:rsidP="006A4EE4">
      <w:pPr>
        <w:spacing w:after="200" w:line="276" w:lineRule="auto"/>
        <w:ind w:firstLine="709"/>
        <w:jc w:val="both"/>
        <w:rPr>
          <w:rFonts w:ascii="Arial" w:eastAsia="Calibri" w:hAnsi="Arial" w:cs="Arial"/>
          <w:sz w:val="24"/>
          <w:szCs w:val="24"/>
          <w:lang w:eastAsia="en-US"/>
        </w:rPr>
      </w:pPr>
      <w:r w:rsidRPr="006A4EE4">
        <w:rPr>
          <w:rFonts w:ascii="Arial" w:eastAsia="Calibri" w:hAnsi="Arial" w:cs="Arial"/>
          <w:sz w:val="24"/>
          <w:szCs w:val="24"/>
          <w:lang w:eastAsia="en-US"/>
        </w:rPr>
        <w:t>Um texto descritivo do plano de trabalho detalhado, até o 30º dia da Ordem de Serviço. Será apresentado em papel A4, fonte Times New Roman, tamanho 12 e espaço entrelinhas de 1,5cm.</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O Plano de Trabalho Detalhado deverá conter no mínimo:</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a) Metodologia de trabalho – relação das atividades com respectiva descrição, informando ainda seu alcance e a abrangência em relação ao objetivo deste TDR. Deverá ainda informar como será executada cada uma das tarefas propostas, devendo propiciar uma visão da metodologia geral da licitante em relação à natureza, porte e complexidade do objeto desta licitação.</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b) Fluxograma de atividades – estabelece como a licitante prevê equacionar a inter-relação entre as várias atividades a serem desenvolvidas</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lastRenderedPageBreak/>
        <w:t>c) Estrutura organizacional – descrição do sistema a ser adotado pela licitante para realização de seus serviços e do controle de qualidade, bem como sua capacitação, e como deverá compatibilizar a utilização de equipamentos e pessoal, visando sempre agilizar o processo.</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Deverá ser apresentada uma sequência mínima de atividades detalhada referindo-se ao planejamento das atividades; execução do diagnóstico; levantamento e análise de documentação bibliográfica e cartográfica; preparação de base cartográfica; análise de imagens de satélite; programação de trabalhos de campo.</w:t>
      </w:r>
    </w:p>
    <w:p w:rsidR="006A4EE4" w:rsidRPr="006A4EE4" w:rsidRDefault="006A4EE4" w:rsidP="006A4EE4">
      <w:pPr>
        <w:spacing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A relação apresentada não exaure o conjunto dos serviços, devendo ser complementada com aquelas identificadas como necessárias ao longo da realização do trabalho. A consultora a ser contratada terá a plena liberdade para propor, de forma diferente, o conjunto de atividades a serem desenvolvidas, desde que fique demonstrado ao contratante, o alcance do propósito final de maneira plenamente satisfatória para cada produto.</w:t>
      </w:r>
    </w:p>
    <w:p w:rsidR="006A4EE4" w:rsidRPr="006A4EE4" w:rsidRDefault="006A4EE4" w:rsidP="006A4EE4">
      <w:pPr>
        <w:spacing w:line="276" w:lineRule="auto"/>
        <w:ind w:firstLine="708"/>
        <w:jc w:val="both"/>
        <w:rPr>
          <w:rFonts w:ascii="Arial" w:eastAsia="Calibri" w:hAnsi="Arial" w:cs="Arial"/>
          <w:sz w:val="24"/>
          <w:szCs w:val="24"/>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9.2 - Relatório Parcial 01: RP 01- Estado da Arte</w:t>
      </w:r>
    </w:p>
    <w:p w:rsidR="006A4EE4" w:rsidRPr="006A4EE4" w:rsidRDefault="006A4EE4" w:rsidP="006A4EE4">
      <w:pPr>
        <w:spacing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Os resultados das atividades descritas no subitem 4.1 deverão ser sintetizados em um relatório diagnóstico das informações existentes.</w:t>
      </w:r>
    </w:p>
    <w:p w:rsidR="006A4EE4" w:rsidRPr="006A4EE4" w:rsidRDefault="006A4EE4" w:rsidP="006A4EE4">
      <w:pPr>
        <w:spacing w:line="276" w:lineRule="auto"/>
        <w:ind w:firstLine="708"/>
        <w:jc w:val="both"/>
        <w:rPr>
          <w:rFonts w:ascii="Arial" w:eastAsia="Calibri" w:hAnsi="Arial" w:cs="Arial"/>
          <w:sz w:val="24"/>
          <w:szCs w:val="24"/>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 xml:space="preserve">9.3- Relatório Parcial 02: RP 02 </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Resultados da compilação dos Estudos Geológicos e Geomorfológicos, Hidrogeológicos, Mapa Geológico e Síntese da Hidro-climatologia, os mapas geológicos e geomorfológicos a serem compilados, assim como todos os demais mapas temáticos, deverão ser integrados em ambiente SIG, plataforma ArcGIS/ArcMAP, com passagem dos arquivos por processo de correção topológica, de acordo com instruções próprias do SIG. Será realizada também uma fusão digital das imagens orbitais com o Mapa Geológico. O projeto será preparado em visualizador (es) compatível(eis) com vistas a elaboração da base do  SIG a ser disponibilizada ao contratante.</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Quanto a Síntese Hidro-climática, constará de uma descrição sucinta ilustrada por gráficos, tabelas e desenhos, dos aspectos fisiográficos relacionados à hidrologia e à climatologia.</w:t>
      </w:r>
    </w:p>
    <w:p w:rsidR="006A4EE4" w:rsidRPr="006A4EE4" w:rsidRDefault="006A4EE4" w:rsidP="006A4EE4">
      <w:pPr>
        <w:spacing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Além dos aspectos de precipitação e de escoamento superficial, também deverá constar uma análise das temperaturas, evaporação e evapotranspiração, umidade relativa do ar, bem como das classificações climáticas.</w:t>
      </w:r>
    </w:p>
    <w:p w:rsidR="006A4EE4" w:rsidRPr="006A4EE4" w:rsidRDefault="006A4EE4" w:rsidP="006A4EE4">
      <w:pPr>
        <w:spacing w:line="276" w:lineRule="auto"/>
        <w:ind w:firstLine="708"/>
        <w:jc w:val="both"/>
        <w:rPr>
          <w:rFonts w:ascii="Arial" w:eastAsia="Calibri" w:hAnsi="Arial" w:cs="Arial"/>
          <w:sz w:val="24"/>
          <w:szCs w:val="24"/>
          <w:lang w:eastAsia="en-US"/>
        </w:rPr>
      </w:pPr>
    </w:p>
    <w:p w:rsidR="006A4EE4" w:rsidRPr="006A4EE4" w:rsidRDefault="006A4EE4" w:rsidP="006A4EE4">
      <w:pPr>
        <w:spacing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9.4 – Relatório Parcial 03: RP 03</w:t>
      </w:r>
    </w:p>
    <w:p w:rsidR="006A4EE4" w:rsidRPr="006A4EE4" w:rsidRDefault="006A4EE4" w:rsidP="006A4EE4">
      <w:pPr>
        <w:spacing w:before="240" w:line="276" w:lineRule="auto"/>
        <w:ind w:firstLine="708"/>
        <w:jc w:val="both"/>
        <w:rPr>
          <w:rFonts w:ascii="Arial" w:eastAsia="Calibri" w:hAnsi="Arial" w:cs="Arial"/>
          <w:b/>
          <w:sz w:val="24"/>
          <w:szCs w:val="24"/>
          <w:lang w:eastAsia="en-US"/>
        </w:rPr>
      </w:pPr>
      <w:r w:rsidRPr="006A4EE4">
        <w:rPr>
          <w:rFonts w:ascii="Arial" w:eastAsia="Calibri" w:hAnsi="Arial" w:cs="Arial"/>
          <w:sz w:val="24"/>
          <w:szCs w:val="24"/>
          <w:lang w:eastAsia="en-US"/>
        </w:rPr>
        <w:lastRenderedPageBreak/>
        <w:t>Deverá conter os resultados da seleção e perfuração de poços da rede de monitoramento qualitativo-quantitativo</w:t>
      </w:r>
      <w:r w:rsidRPr="006A4EE4">
        <w:rPr>
          <w:rFonts w:ascii="Arial" w:eastAsia="Calibri" w:hAnsi="Arial" w:cs="Arial"/>
          <w:b/>
          <w:sz w:val="24"/>
          <w:szCs w:val="24"/>
          <w:lang w:eastAsia="en-US"/>
        </w:rPr>
        <w:t>;</w:t>
      </w:r>
    </w:p>
    <w:p w:rsidR="006A4EE4" w:rsidRPr="006A4EE4" w:rsidRDefault="006A4EE4" w:rsidP="006A4EE4">
      <w:pPr>
        <w:spacing w:line="276" w:lineRule="auto"/>
        <w:jc w:val="both"/>
        <w:rPr>
          <w:rFonts w:ascii="Arial" w:eastAsia="Calibri" w:hAnsi="Arial" w:cs="Arial"/>
          <w:b/>
          <w:sz w:val="24"/>
          <w:szCs w:val="24"/>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9.5 – Relatório Parcial 04: RP 04</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Deverá conter os resultados dos estudos e cadastramento dos poços da rede de monitoramento e resultados das análises físico-químicas na área dos aqüíferos porosos;</w:t>
      </w:r>
    </w:p>
    <w:p w:rsidR="006A4EE4" w:rsidRPr="006A4EE4" w:rsidRDefault="006A4EE4" w:rsidP="006A4EE4">
      <w:pPr>
        <w:spacing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Constará este relatório das atividades descritas no item 4.5, com um relato sobre o cadastramento dos poços, incluindo a planilha de dados cadastrais e o resultado das análises físico-químicas, devidamente comentada e com classificações, incluindo mapeamento de zonas metassedimentar/meta vulcânicas e vulcânicas, balanço hidrogeológico e recarga, circulação, e descarga.</w:t>
      </w:r>
    </w:p>
    <w:p w:rsidR="006A4EE4" w:rsidRPr="006A4EE4" w:rsidRDefault="006A4EE4" w:rsidP="006A4EE4">
      <w:pPr>
        <w:spacing w:line="276" w:lineRule="auto"/>
        <w:ind w:firstLine="708"/>
        <w:jc w:val="both"/>
        <w:rPr>
          <w:rFonts w:ascii="Arial" w:eastAsia="Calibri" w:hAnsi="Arial" w:cs="Arial"/>
          <w:sz w:val="24"/>
          <w:szCs w:val="24"/>
          <w:lang w:eastAsia="en-US"/>
        </w:rPr>
      </w:pPr>
    </w:p>
    <w:p w:rsidR="006A4EE4" w:rsidRPr="006A4EE4" w:rsidRDefault="006A4EE4" w:rsidP="006A4EE4">
      <w:pPr>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9.6– Relatório Parcial 05: RP 05</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Deverá conter os resultados dos estudos e cadastramento dos poços da rede de monitoramento e resultados das análises físico-químicas na área dos aquíferos fissurais, incluindo nivelamento, potenciometria, perfilagens geofísicas, testes de aquífero, avaliação reservas hídricas, avaliação da vulnerabilidade e zoneamento de explotação, além do diagnóstico preliminar dos recursos hídricos subterrâneos;</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Esse relatório conterá os resultados com respectiva análise interpretativa, das atividades desenvolvidas no item 4.6.</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O nivelamento dos poços deverá fornecer todas as cotas dos poços e dos níveis estáticos (resultante da diferença entre a cota altimétrica na boca do poço e a profundidade do nível estático)</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A partir do nivelamento serão apresentados os mapas potenciométricos dos diversos aquíferos fissurais. Os aquíferos fissurais por não apresentarem uma continuidade não permitem uma boa caracterização da potenciometria. Os mapas potenciométricos serão elaborados na escala mínima de 1:250.000, podendo, a depender da área mapeada, vir a ser apresentado na escala de 1:100.000. Todos eles deverão ser georreferenciados.</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A geofísica dos poços irá permitir a realização de seções geológicas e contribuir para a definição das estruturas dos aquíferos intersticiais, bem como das espessuras desses aquíferos.</w:t>
      </w:r>
    </w:p>
    <w:p w:rsidR="006A4EE4" w:rsidRPr="006A4EE4" w:rsidRDefault="006A4EE4" w:rsidP="006A4EE4">
      <w:pPr>
        <w:spacing w:after="20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Os testes de aquífero a serem realizados deverão ter os relatórios acompanhados das tabelas de campo e das curvas de rebaixamento x tempo em escala bi-logoumono-log.</w:t>
      </w:r>
    </w:p>
    <w:p w:rsidR="006A4EE4" w:rsidRPr="006A4EE4" w:rsidRDefault="006A4EE4" w:rsidP="006A4EE4">
      <w:pPr>
        <w:widowControl w:val="0"/>
        <w:spacing w:line="276" w:lineRule="auto"/>
        <w:ind w:firstLine="709"/>
        <w:jc w:val="both"/>
        <w:rPr>
          <w:rFonts w:ascii="Arial" w:eastAsia="Calibri" w:hAnsi="Arial" w:cs="Arial"/>
          <w:sz w:val="24"/>
          <w:szCs w:val="24"/>
          <w:lang w:eastAsia="en-US"/>
        </w:rPr>
      </w:pPr>
      <w:r w:rsidRPr="006A4EE4">
        <w:rPr>
          <w:rFonts w:ascii="Arial" w:eastAsia="Calibri" w:hAnsi="Arial" w:cs="Arial"/>
          <w:sz w:val="24"/>
          <w:szCs w:val="24"/>
          <w:lang w:eastAsia="en-US"/>
        </w:rPr>
        <w:t xml:space="preserve">Finalmente a avaliação dos volumes representados pelas reservas, </w:t>
      </w:r>
      <w:r w:rsidRPr="006A4EE4">
        <w:rPr>
          <w:rFonts w:ascii="Arial" w:eastAsia="Calibri" w:hAnsi="Arial" w:cs="Arial"/>
          <w:sz w:val="24"/>
          <w:szCs w:val="24"/>
          <w:lang w:eastAsia="en-US"/>
        </w:rPr>
        <w:lastRenderedPageBreak/>
        <w:t>potencialidades, disponibilidades e recursos explotáveis devem apresentar memória de cálculo e valores obtidos.</w:t>
      </w:r>
    </w:p>
    <w:p w:rsidR="006A4EE4" w:rsidRPr="006A4EE4" w:rsidRDefault="006A4EE4" w:rsidP="006A4EE4">
      <w:pPr>
        <w:widowControl w:val="0"/>
        <w:spacing w:line="276" w:lineRule="auto"/>
        <w:jc w:val="both"/>
        <w:rPr>
          <w:rFonts w:ascii="Arial" w:eastAsia="Calibri" w:hAnsi="Arial" w:cs="Arial"/>
          <w:sz w:val="24"/>
          <w:szCs w:val="24"/>
          <w:lang w:eastAsia="en-US"/>
        </w:rPr>
      </w:pPr>
    </w:p>
    <w:p w:rsidR="006A4EE4" w:rsidRPr="006A4EE4" w:rsidRDefault="006A4EE4" w:rsidP="006A4EE4">
      <w:pPr>
        <w:widowControl w:val="0"/>
        <w:spacing w:after="12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t>9.7. Diagnóstico Geral dos Recursos Hídricos Subterrâneos;</w:t>
      </w:r>
    </w:p>
    <w:p w:rsidR="006A4EE4" w:rsidRPr="006A4EE4" w:rsidRDefault="006A4EE4" w:rsidP="006A4EE4">
      <w:pPr>
        <w:spacing w:line="276" w:lineRule="auto"/>
        <w:ind w:firstLine="709"/>
        <w:jc w:val="both"/>
        <w:rPr>
          <w:rFonts w:ascii="Arial" w:eastAsia="Calibri" w:hAnsi="Arial" w:cs="Arial"/>
          <w:sz w:val="24"/>
          <w:szCs w:val="24"/>
          <w:lang w:eastAsia="en-US"/>
        </w:rPr>
      </w:pPr>
      <w:r w:rsidRPr="006A4EE4">
        <w:rPr>
          <w:rFonts w:ascii="Arial" w:eastAsia="Calibri" w:hAnsi="Arial" w:cs="Arial"/>
          <w:sz w:val="24"/>
          <w:szCs w:val="24"/>
          <w:lang w:eastAsia="en-US"/>
        </w:rPr>
        <w:t>Uma vez elaborados os estudos hidrogeológicos acima descritos, para os aquíferos existentes na região Itens 4.5 e 4.6, será elaborado o diagnóstico hidrogeológico da área que contemplará todas as conclusões acerca das condições de recarga, circulação e exutórios dos aquíferos, suas potencialidades, disponibilidades e recursos explotáveis e a qualidade química das suas águas.</w:t>
      </w:r>
    </w:p>
    <w:p w:rsidR="006A4EE4" w:rsidRPr="006A4EE4" w:rsidRDefault="006A4EE4" w:rsidP="006A4EE4">
      <w:pPr>
        <w:widowControl w:val="0"/>
        <w:spacing w:after="120" w:line="276" w:lineRule="auto"/>
        <w:jc w:val="both"/>
        <w:rPr>
          <w:rFonts w:ascii="Arial" w:eastAsia="Calibri" w:hAnsi="Arial" w:cs="Arial"/>
          <w:b/>
          <w:sz w:val="24"/>
          <w:szCs w:val="24"/>
          <w:lang w:eastAsia="en-US"/>
        </w:rPr>
      </w:pPr>
    </w:p>
    <w:p w:rsidR="006A4EE4" w:rsidRPr="006A4EE4" w:rsidRDefault="006A4EE4" w:rsidP="006A4EE4">
      <w:pPr>
        <w:widowControl w:val="0"/>
        <w:spacing w:after="120" w:line="276" w:lineRule="auto"/>
        <w:ind w:left="283" w:hanging="283"/>
        <w:jc w:val="both"/>
        <w:rPr>
          <w:rFonts w:ascii="Arial" w:eastAsia="Calibri" w:hAnsi="Arial" w:cs="Arial"/>
          <w:b/>
          <w:sz w:val="24"/>
          <w:szCs w:val="24"/>
          <w:lang w:eastAsia="en-US"/>
        </w:rPr>
      </w:pPr>
      <w:r w:rsidRPr="006A4EE4">
        <w:rPr>
          <w:rFonts w:ascii="Arial" w:eastAsia="Calibri" w:hAnsi="Arial" w:cs="Arial"/>
          <w:b/>
          <w:sz w:val="24"/>
          <w:szCs w:val="24"/>
          <w:lang w:eastAsia="en-US"/>
        </w:rPr>
        <w:t>9.8. Proposta de modelo de Gestão das águas subterrâneas da região CE-NO;</w:t>
      </w:r>
    </w:p>
    <w:p w:rsidR="006A4EE4" w:rsidRPr="006A4EE4" w:rsidRDefault="006A4EE4" w:rsidP="006A4EE4">
      <w:pPr>
        <w:widowControl w:val="0"/>
        <w:spacing w:after="120" w:line="276" w:lineRule="auto"/>
        <w:ind w:left="283" w:hanging="283"/>
        <w:jc w:val="both"/>
        <w:rPr>
          <w:rFonts w:ascii="Arial" w:eastAsia="Calibri" w:hAnsi="Arial" w:cs="Arial"/>
          <w:sz w:val="24"/>
          <w:szCs w:val="24"/>
          <w:lang w:eastAsia="en-US"/>
        </w:rPr>
      </w:pPr>
      <w:r w:rsidRPr="006A4EE4">
        <w:rPr>
          <w:rFonts w:ascii="Arial" w:eastAsia="Calibri" w:hAnsi="Arial" w:cs="Arial"/>
          <w:b/>
          <w:sz w:val="24"/>
          <w:szCs w:val="24"/>
          <w:lang w:eastAsia="en-US"/>
        </w:rPr>
        <w:tab/>
      </w:r>
      <w:r w:rsidRPr="006A4EE4">
        <w:rPr>
          <w:rFonts w:ascii="Arial" w:eastAsia="Calibri" w:hAnsi="Arial" w:cs="Arial"/>
          <w:sz w:val="24"/>
          <w:szCs w:val="24"/>
          <w:lang w:eastAsia="en-US"/>
        </w:rPr>
        <w:t>Neste relatório deverão está contempladas todas as descrições dos tópicos do sub-ítem 4.8, bem como da rede de monitoramento de poços.</w:t>
      </w:r>
    </w:p>
    <w:p w:rsidR="006A4EE4" w:rsidRPr="006A4EE4" w:rsidRDefault="006A4EE4" w:rsidP="006A4EE4">
      <w:pPr>
        <w:widowControl w:val="0"/>
        <w:spacing w:line="276" w:lineRule="auto"/>
        <w:ind w:left="283"/>
        <w:jc w:val="both"/>
        <w:rPr>
          <w:rFonts w:ascii="Arial" w:eastAsia="Calibri" w:hAnsi="Arial" w:cs="Arial"/>
          <w:b/>
          <w:sz w:val="24"/>
          <w:szCs w:val="24"/>
          <w:lang w:eastAsia="en-US"/>
        </w:rPr>
      </w:pPr>
    </w:p>
    <w:p w:rsidR="006A4EE4" w:rsidRPr="006A4EE4" w:rsidRDefault="006A4EE4" w:rsidP="006A4EE4">
      <w:pPr>
        <w:widowControl w:val="0"/>
        <w:spacing w:after="120" w:line="276" w:lineRule="auto"/>
        <w:ind w:left="283" w:hanging="283"/>
        <w:jc w:val="both"/>
        <w:rPr>
          <w:rFonts w:ascii="Arial" w:eastAsia="Calibri" w:hAnsi="Arial" w:cs="Arial"/>
          <w:b/>
          <w:sz w:val="24"/>
          <w:szCs w:val="24"/>
          <w:lang w:eastAsia="en-US"/>
        </w:rPr>
      </w:pPr>
      <w:r w:rsidRPr="006A4EE4">
        <w:rPr>
          <w:rFonts w:ascii="Arial" w:eastAsia="Calibri" w:hAnsi="Arial" w:cs="Arial"/>
          <w:b/>
          <w:sz w:val="24"/>
          <w:szCs w:val="24"/>
          <w:lang w:eastAsia="en-US"/>
        </w:rPr>
        <w:t>9.9. Relatório Final: Texto e Mapas.</w:t>
      </w:r>
    </w:p>
    <w:p w:rsidR="006A4EE4" w:rsidRPr="006A4EE4" w:rsidRDefault="006A4EE4" w:rsidP="006A4EE4">
      <w:pPr>
        <w:spacing w:before="200" w:after="120" w:line="276" w:lineRule="auto"/>
        <w:ind w:firstLine="720"/>
        <w:jc w:val="both"/>
        <w:rPr>
          <w:rFonts w:ascii="Arial" w:eastAsia="Calibri" w:hAnsi="Arial" w:cs="Arial"/>
          <w:sz w:val="24"/>
          <w:szCs w:val="24"/>
          <w:lang w:eastAsia="en-US"/>
        </w:rPr>
      </w:pPr>
      <w:r w:rsidRPr="006A4EE4">
        <w:rPr>
          <w:rFonts w:ascii="Arial" w:eastAsia="Calibri" w:hAnsi="Arial" w:cs="Arial"/>
          <w:sz w:val="24"/>
          <w:szCs w:val="24"/>
          <w:lang w:eastAsia="en-US"/>
        </w:rPr>
        <w:t>É uma consolidação dos relatórios parciais e contêm um texto explicativo dos resultados obtidos e as conclusões e recomendações, inclusive com os resultados obtidos no seminário.</w:t>
      </w:r>
    </w:p>
    <w:p w:rsidR="006A4EE4" w:rsidRPr="006A4EE4" w:rsidRDefault="006A4EE4" w:rsidP="006A4EE4">
      <w:pPr>
        <w:spacing w:before="200" w:after="12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O Relatório Final dos estudos deverá conter a análise detalhada da situação atual do abastecimento de cada município e as alternativas de curto, médio e longo prazo para o suprimento das respectivas demandas no período mínimo de 20 (vinte) anos.</w:t>
      </w:r>
    </w:p>
    <w:p w:rsidR="006A4EE4" w:rsidRPr="006A4EE4" w:rsidRDefault="006A4EE4" w:rsidP="006A4EE4">
      <w:pPr>
        <w:spacing w:before="200" w:after="12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Com base nos estudos de uso e ocupação da terra, a CONSULTORA delimitará as áreas de proteção das águas subterrâneo-superficiais, mostrando claramente as providências a serem implementadas pelo poder público, através de indicações das ações que possam se enquadrar nos planos diretores das cidades.</w:t>
      </w:r>
    </w:p>
    <w:p w:rsidR="006A4EE4" w:rsidRPr="006A4EE4" w:rsidRDefault="006A4EE4" w:rsidP="006A4EE4">
      <w:pPr>
        <w:spacing w:before="200" w:after="12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 xml:space="preserve">Juntamente a este relatório, a CONSULTORA também deverá entregar o banco de dados no </w:t>
      </w:r>
      <w:r w:rsidRPr="006A4EE4">
        <w:rPr>
          <w:rFonts w:ascii="Arial" w:eastAsia="Calibri" w:hAnsi="Arial" w:cs="Arial"/>
          <w:i/>
          <w:sz w:val="24"/>
          <w:szCs w:val="24"/>
          <w:lang w:eastAsia="en-US"/>
        </w:rPr>
        <w:t>ArcGis</w:t>
      </w:r>
      <w:r w:rsidRPr="006A4EE4">
        <w:rPr>
          <w:rFonts w:ascii="Arial" w:eastAsia="Calibri" w:hAnsi="Arial" w:cs="Arial"/>
          <w:sz w:val="24"/>
          <w:szCs w:val="24"/>
          <w:lang w:eastAsia="en-US"/>
        </w:rPr>
        <w:t xml:space="preserve"> 10.1 (</w:t>
      </w:r>
      <w:r w:rsidRPr="006A4EE4">
        <w:rPr>
          <w:rFonts w:ascii="Arial" w:eastAsia="Calibri" w:hAnsi="Arial" w:cs="Arial"/>
          <w:i/>
          <w:sz w:val="24"/>
          <w:szCs w:val="24"/>
          <w:lang w:eastAsia="en-US"/>
        </w:rPr>
        <w:t>filegeodatabase</w:t>
      </w:r>
      <w:r w:rsidRPr="006A4EE4">
        <w:rPr>
          <w:rFonts w:ascii="Arial" w:eastAsia="Calibri" w:hAnsi="Arial" w:cs="Arial"/>
          <w:sz w:val="24"/>
          <w:szCs w:val="24"/>
          <w:lang w:eastAsia="en-US"/>
        </w:rPr>
        <w:t>) atualizado e Sistema de Informações Geográficas (SIG) onde serão disponibilizados os dados sistematizados e interpretados conforme descrito nos itens 7 e 8 destes TDRs.</w:t>
      </w:r>
    </w:p>
    <w:p w:rsidR="006A4EE4" w:rsidRPr="006A4EE4" w:rsidRDefault="006A4EE4" w:rsidP="006A4EE4">
      <w:pPr>
        <w:spacing w:before="200" w:after="120" w:line="276" w:lineRule="auto"/>
        <w:ind w:firstLine="708"/>
        <w:jc w:val="both"/>
        <w:rPr>
          <w:rFonts w:ascii="Arial" w:eastAsia="Calibri" w:hAnsi="Arial" w:cs="Arial"/>
          <w:sz w:val="24"/>
          <w:szCs w:val="24"/>
          <w:lang w:eastAsia="en-US"/>
        </w:rPr>
      </w:pPr>
      <w:r w:rsidRPr="006A4EE4">
        <w:rPr>
          <w:rFonts w:ascii="Arial" w:eastAsia="Calibri" w:hAnsi="Arial" w:cs="Arial"/>
          <w:sz w:val="24"/>
          <w:szCs w:val="24"/>
          <w:lang w:eastAsia="en-US"/>
        </w:rPr>
        <w:t>O Relatório Final deverá ser apresentado pela CONSULTORA dentro do prazo final do contrato 360 (trezentos e sessenta) dias, conforme cronograma proposto e deverá compreender 8 (oito) vias em papel e estarem presentes em 15 (quinze) CD-ROM, de forma que todas as informações inerentes aos serviços possam ser encontradas em uma única base física.</w:t>
      </w:r>
    </w:p>
    <w:p w:rsidR="006A4EE4" w:rsidRPr="006A4EE4" w:rsidRDefault="006A4EE4" w:rsidP="006A4EE4">
      <w:pPr>
        <w:widowControl w:val="0"/>
        <w:spacing w:after="120" w:line="276" w:lineRule="auto"/>
        <w:ind w:left="283" w:hanging="283"/>
        <w:jc w:val="both"/>
        <w:rPr>
          <w:rFonts w:ascii="Arial" w:eastAsia="Calibri" w:hAnsi="Arial" w:cs="Arial"/>
          <w:b/>
          <w:sz w:val="24"/>
          <w:szCs w:val="24"/>
          <w:lang w:eastAsia="en-US"/>
        </w:rPr>
      </w:pPr>
    </w:p>
    <w:p w:rsidR="006A4EE4" w:rsidRPr="006A4EE4" w:rsidRDefault="006A4EE4" w:rsidP="006A4EE4">
      <w:pPr>
        <w:widowControl w:val="0"/>
        <w:spacing w:line="276" w:lineRule="auto"/>
        <w:ind w:firstLine="709"/>
        <w:jc w:val="both"/>
        <w:rPr>
          <w:rFonts w:ascii="Arial" w:eastAsia="Calibri" w:hAnsi="Arial" w:cs="Arial"/>
          <w:b/>
          <w:sz w:val="24"/>
          <w:szCs w:val="24"/>
          <w:lang w:eastAsia="en-US"/>
        </w:rPr>
      </w:pPr>
    </w:p>
    <w:p w:rsidR="006A4EE4" w:rsidRPr="006A4EE4" w:rsidRDefault="006A4EE4" w:rsidP="006A4EE4">
      <w:pPr>
        <w:widowControl w:val="0"/>
        <w:spacing w:after="200" w:line="276" w:lineRule="auto"/>
        <w:jc w:val="both"/>
        <w:rPr>
          <w:rFonts w:ascii="Arial" w:eastAsia="Calibri" w:hAnsi="Arial" w:cs="Arial"/>
          <w:b/>
          <w:sz w:val="24"/>
          <w:szCs w:val="24"/>
          <w:lang w:eastAsia="en-US"/>
        </w:rPr>
      </w:pPr>
      <w:r w:rsidRPr="006A4EE4">
        <w:rPr>
          <w:rFonts w:ascii="Arial" w:eastAsia="Calibri" w:hAnsi="Arial" w:cs="Arial"/>
          <w:b/>
          <w:sz w:val="24"/>
          <w:szCs w:val="24"/>
          <w:lang w:eastAsia="en-US"/>
        </w:rPr>
        <w:lastRenderedPageBreak/>
        <w:t>10. PRAZO DE EXECUÇÃO</w:t>
      </w:r>
    </w:p>
    <w:p w:rsidR="006A4EE4" w:rsidRPr="006A4EE4" w:rsidRDefault="006A4EE4" w:rsidP="006A4EE4">
      <w:pPr>
        <w:widowControl w:val="0"/>
        <w:spacing w:line="276" w:lineRule="auto"/>
        <w:ind w:firstLine="709"/>
        <w:jc w:val="both"/>
        <w:rPr>
          <w:rFonts w:ascii="Arial" w:eastAsia="Calibri" w:hAnsi="Arial" w:cs="Arial"/>
          <w:bCs/>
          <w:sz w:val="24"/>
          <w:szCs w:val="24"/>
          <w:lang w:eastAsia="en-US"/>
        </w:rPr>
      </w:pPr>
      <w:r w:rsidRPr="006A4EE4">
        <w:rPr>
          <w:rFonts w:ascii="Arial" w:eastAsia="Calibri" w:hAnsi="Arial" w:cs="Arial"/>
          <w:bCs/>
          <w:sz w:val="24"/>
          <w:szCs w:val="24"/>
          <w:lang w:eastAsia="en-US"/>
        </w:rPr>
        <w:t>A duração dos trabalhos será de 360 (trezentos e sessenta) dias, contados a partir da emissão da ordem de serviço e as atividades serão distribuídas conforme estabelecido no plano de trabalho a ser apresentado pela consultora e aprovado pela contratante.</w:t>
      </w:r>
    </w:p>
    <w:p w:rsidR="0025424D" w:rsidRPr="0025424D" w:rsidRDefault="006A4EE4" w:rsidP="0025424D">
      <w:pPr>
        <w:widowControl w:val="0"/>
        <w:rPr>
          <w:rFonts w:ascii="Arial" w:eastAsia="Calibri" w:hAnsi="Arial" w:cs="Arial"/>
          <w:b/>
          <w:sz w:val="24"/>
          <w:szCs w:val="24"/>
          <w:lang w:eastAsia="en-US"/>
        </w:rPr>
      </w:pPr>
      <w:r w:rsidRPr="006A4EE4">
        <w:rPr>
          <w:rFonts w:ascii="Arial" w:eastAsia="Calibri" w:hAnsi="Arial" w:cs="Arial"/>
          <w:bCs/>
          <w:sz w:val="24"/>
          <w:szCs w:val="24"/>
          <w:lang w:eastAsia="en-US"/>
        </w:rPr>
        <w:br w:type="page"/>
      </w:r>
      <w:r w:rsidR="0025424D" w:rsidRPr="0025424D">
        <w:rPr>
          <w:rFonts w:ascii="Arial" w:eastAsia="Calibri" w:hAnsi="Arial" w:cs="Arial"/>
          <w:b/>
          <w:sz w:val="24"/>
          <w:szCs w:val="24"/>
          <w:lang w:eastAsia="en-US"/>
        </w:rPr>
        <w:lastRenderedPageBreak/>
        <w:t>11. PRAZOS DE EXECUÇÃO E FORMAS DE PAGAMENTO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5430"/>
        <w:gridCol w:w="2091"/>
      </w:tblGrid>
      <w:tr w:rsidR="0025424D" w:rsidRPr="0025424D" w:rsidTr="00533722">
        <w:trPr>
          <w:trHeight w:val="148"/>
          <w:jc w:val="center"/>
        </w:trPr>
        <w:tc>
          <w:tcPr>
            <w:tcW w:w="1484" w:type="dxa"/>
            <w:shd w:val="clear" w:color="auto" w:fill="C0C0C0"/>
            <w:vAlign w:val="center"/>
          </w:tcPr>
          <w:p w:rsidR="0025424D" w:rsidRPr="0025424D" w:rsidRDefault="0025424D" w:rsidP="0025424D">
            <w:pPr>
              <w:widowControl w:val="0"/>
              <w:jc w:val="center"/>
              <w:rPr>
                <w:rFonts w:ascii="Arial" w:eastAsia="Calibri" w:hAnsi="Arial" w:cs="Arial"/>
                <w:b/>
                <w:lang w:eastAsia="en-US"/>
              </w:rPr>
            </w:pPr>
            <w:r w:rsidRPr="0025424D">
              <w:rPr>
                <w:rFonts w:ascii="Arial" w:eastAsia="Calibri" w:hAnsi="Arial" w:cs="Arial"/>
                <w:b/>
                <w:lang w:eastAsia="en-US"/>
              </w:rPr>
              <w:t>DATAS DE ENTREGA</w:t>
            </w:r>
          </w:p>
        </w:tc>
        <w:tc>
          <w:tcPr>
            <w:tcW w:w="5430" w:type="dxa"/>
            <w:shd w:val="clear" w:color="auto" w:fill="C0C0C0"/>
            <w:vAlign w:val="center"/>
          </w:tcPr>
          <w:p w:rsidR="0025424D" w:rsidRPr="0025424D" w:rsidRDefault="0025424D" w:rsidP="0025424D">
            <w:pPr>
              <w:widowControl w:val="0"/>
              <w:jc w:val="center"/>
              <w:rPr>
                <w:rFonts w:ascii="Arial" w:eastAsia="Calibri" w:hAnsi="Arial" w:cs="Arial"/>
                <w:b/>
                <w:lang w:eastAsia="en-US"/>
              </w:rPr>
            </w:pPr>
            <w:r w:rsidRPr="0025424D">
              <w:rPr>
                <w:rFonts w:ascii="Arial" w:eastAsia="Calibri" w:hAnsi="Arial" w:cs="Arial"/>
                <w:b/>
                <w:lang w:eastAsia="en-US"/>
              </w:rPr>
              <w:t>PRODUTOS</w:t>
            </w:r>
          </w:p>
        </w:tc>
        <w:tc>
          <w:tcPr>
            <w:tcW w:w="2091" w:type="dxa"/>
            <w:shd w:val="clear" w:color="auto" w:fill="C0C0C0"/>
            <w:vAlign w:val="center"/>
          </w:tcPr>
          <w:p w:rsidR="0025424D" w:rsidRPr="0025424D" w:rsidRDefault="0025424D" w:rsidP="0025424D">
            <w:pPr>
              <w:widowControl w:val="0"/>
              <w:jc w:val="center"/>
              <w:rPr>
                <w:rFonts w:ascii="Arial" w:eastAsia="Calibri" w:hAnsi="Arial" w:cs="Arial"/>
                <w:b/>
                <w:lang w:eastAsia="en-US"/>
              </w:rPr>
            </w:pPr>
            <w:r w:rsidRPr="0025424D">
              <w:rPr>
                <w:rFonts w:ascii="Arial" w:eastAsia="Calibri" w:hAnsi="Arial" w:cs="Arial"/>
                <w:b/>
                <w:lang w:eastAsia="en-US"/>
              </w:rPr>
              <w:t>% DE PAGAMENTO</w:t>
            </w:r>
          </w:p>
        </w:tc>
      </w:tr>
      <w:tr w:rsidR="0025424D" w:rsidRPr="0025424D" w:rsidTr="00533722">
        <w:trPr>
          <w:trHeight w:val="355"/>
          <w:jc w:val="center"/>
        </w:trPr>
        <w:tc>
          <w:tcPr>
            <w:tcW w:w="1484" w:type="dxa"/>
            <w:vAlign w:val="center"/>
          </w:tcPr>
          <w:p w:rsidR="0025424D" w:rsidRPr="0025424D" w:rsidRDefault="0025424D" w:rsidP="0025424D">
            <w:pPr>
              <w:widowControl w:val="0"/>
              <w:jc w:val="center"/>
              <w:rPr>
                <w:rFonts w:ascii="Arial" w:eastAsia="Calibri" w:hAnsi="Arial" w:cs="Arial"/>
                <w:lang w:eastAsia="en-US"/>
              </w:rPr>
            </w:pPr>
            <w:r w:rsidRPr="0025424D">
              <w:rPr>
                <w:rFonts w:ascii="Arial" w:eastAsia="Calibri" w:hAnsi="Arial" w:cs="Arial"/>
                <w:lang w:eastAsia="en-US"/>
              </w:rPr>
              <w:t>30 dias</w:t>
            </w:r>
          </w:p>
        </w:tc>
        <w:tc>
          <w:tcPr>
            <w:tcW w:w="5430" w:type="dxa"/>
            <w:vAlign w:val="center"/>
          </w:tcPr>
          <w:p w:rsidR="0025424D" w:rsidRPr="0025424D" w:rsidRDefault="0025424D" w:rsidP="0025424D">
            <w:pPr>
              <w:widowControl w:val="0"/>
              <w:jc w:val="both"/>
              <w:rPr>
                <w:rFonts w:ascii="Arial" w:eastAsia="Calibri" w:hAnsi="Arial" w:cs="Arial"/>
                <w:lang w:eastAsia="en-US"/>
              </w:rPr>
            </w:pPr>
            <w:r w:rsidRPr="0025424D">
              <w:rPr>
                <w:rFonts w:ascii="Arial" w:eastAsia="Calibri" w:hAnsi="Arial" w:cs="Arial"/>
                <w:lang w:eastAsia="en-US"/>
              </w:rPr>
              <w:t>Plano de Trabalho</w:t>
            </w:r>
          </w:p>
        </w:tc>
        <w:tc>
          <w:tcPr>
            <w:tcW w:w="2091" w:type="dxa"/>
            <w:vAlign w:val="center"/>
          </w:tcPr>
          <w:p w:rsidR="0025424D" w:rsidRPr="0025424D" w:rsidRDefault="0025424D" w:rsidP="0025424D">
            <w:pPr>
              <w:jc w:val="center"/>
              <w:rPr>
                <w:rFonts w:ascii="Arial" w:eastAsia="Calibri" w:hAnsi="Arial" w:cs="Arial"/>
                <w:lang w:eastAsia="en-US"/>
              </w:rPr>
            </w:pPr>
            <w:r w:rsidRPr="0025424D">
              <w:rPr>
                <w:rFonts w:ascii="Arial" w:eastAsia="Calibri" w:hAnsi="Arial" w:cs="Arial"/>
                <w:lang w:eastAsia="en-US"/>
              </w:rPr>
              <w:t>15% do montante</w:t>
            </w:r>
          </w:p>
        </w:tc>
      </w:tr>
      <w:tr w:rsidR="0025424D" w:rsidRPr="0025424D" w:rsidTr="00533722">
        <w:trPr>
          <w:trHeight w:val="148"/>
          <w:jc w:val="center"/>
        </w:trPr>
        <w:tc>
          <w:tcPr>
            <w:tcW w:w="1484" w:type="dxa"/>
            <w:vAlign w:val="center"/>
          </w:tcPr>
          <w:p w:rsidR="0025424D" w:rsidRPr="0025424D" w:rsidRDefault="0025424D" w:rsidP="0025424D">
            <w:pPr>
              <w:widowControl w:val="0"/>
              <w:jc w:val="center"/>
              <w:rPr>
                <w:rFonts w:ascii="Arial" w:eastAsia="Calibri" w:hAnsi="Arial" w:cs="Arial"/>
                <w:lang w:eastAsia="en-US"/>
              </w:rPr>
            </w:pPr>
            <w:r w:rsidRPr="0025424D">
              <w:rPr>
                <w:rFonts w:ascii="Arial" w:eastAsia="Calibri" w:hAnsi="Arial" w:cs="Arial"/>
                <w:lang w:eastAsia="en-US"/>
              </w:rPr>
              <w:t>60 dias</w:t>
            </w:r>
          </w:p>
        </w:tc>
        <w:tc>
          <w:tcPr>
            <w:tcW w:w="5430" w:type="dxa"/>
            <w:vAlign w:val="center"/>
          </w:tcPr>
          <w:p w:rsidR="0025424D" w:rsidRPr="0025424D" w:rsidRDefault="0025424D" w:rsidP="0025424D">
            <w:pPr>
              <w:widowControl w:val="0"/>
              <w:jc w:val="both"/>
              <w:rPr>
                <w:rFonts w:ascii="Arial" w:eastAsia="Calibri" w:hAnsi="Arial" w:cs="Arial"/>
                <w:lang w:eastAsia="en-US"/>
              </w:rPr>
            </w:pPr>
            <w:r w:rsidRPr="0025424D">
              <w:rPr>
                <w:rFonts w:ascii="Arial" w:eastAsia="Calibri" w:hAnsi="Arial" w:cs="Arial"/>
                <w:lang w:eastAsia="en-US"/>
              </w:rPr>
              <w:t>Relatório Parcial 01: RP 01, contendo os resultados das atividades descritas no subitem 4.1 (Estado da Arte).</w:t>
            </w:r>
          </w:p>
        </w:tc>
        <w:tc>
          <w:tcPr>
            <w:tcW w:w="2091" w:type="dxa"/>
            <w:vAlign w:val="center"/>
          </w:tcPr>
          <w:p w:rsidR="0025424D" w:rsidRPr="0025424D" w:rsidRDefault="0025424D" w:rsidP="0025424D">
            <w:pPr>
              <w:jc w:val="center"/>
              <w:rPr>
                <w:rFonts w:ascii="Arial" w:eastAsia="Calibri" w:hAnsi="Arial" w:cs="Arial"/>
                <w:lang w:eastAsia="en-US"/>
              </w:rPr>
            </w:pPr>
            <w:r w:rsidRPr="0025424D">
              <w:rPr>
                <w:rFonts w:ascii="Arial" w:eastAsia="Calibri" w:hAnsi="Arial" w:cs="Arial"/>
                <w:lang w:eastAsia="en-US"/>
              </w:rPr>
              <w:t>10% do montante</w:t>
            </w:r>
          </w:p>
        </w:tc>
      </w:tr>
      <w:tr w:rsidR="0025424D" w:rsidRPr="0025424D" w:rsidTr="00533722">
        <w:trPr>
          <w:trHeight w:val="795"/>
          <w:jc w:val="center"/>
        </w:trPr>
        <w:tc>
          <w:tcPr>
            <w:tcW w:w="1484" w:type="dxa"/>
            <w:vAlign w:val="center"/>
          </w:tcPr>
          <w:p w:rsidR="0025424D" w:rsidRPr="0025424D" w:rsidRDefault="0025424D" w:rsidP="0025424D">
            <w:pPr>
              <w:widowControl w:val="0"/>
              <w:jc w:val="center"/>
              <w:rPr>
                <w:rFonts w:ascii="Arial" w:eastAsia="Calibri" w:hAnsi="Arial" w:cs="Arial"/>
                <w:lang w:eastAsia="en-US"/>
              </w:rPr>
            </w:pPr>
            <w:r w:rsidRPr="0025424D">
              <w:rPr>
                <w:rFonts w:ascii="Arial" w:eastAsia="Calibri" w:hAnsi="Arial" w:cs="Arial"/>
                <w:lang w:eastAsia="en-US"/>
              </w:rPr>
              <w:t>120 dias</w:t>
            </w:r>
          </w:p>
        </w:tc>
        <w:tc>
          <w:tcPr>
            <w:tcW w:w="5430" w:type="dxa"/>
            <w:vAlign w:val="center"/>
          </w:tcPr>
          <w:p w:rsidR="0025424D" w:rsidRPr="0025424D" w:rsidRDefault="0025424D" w:rsidP="0025424D">
            <w:pPr>
              <w:widowControl w:val="0"/>
              <w:jc w:val="both"/>
              <w:rPr>
                <w:rFonts w:ascii="Arial" w:eastAsia="Calibri" w:hAnsi="Arial" w:cs="Arial"/>
                <w:lang w:eastAsia="en-US"/>
              </w:rPr>
            </w:pPr>
            <w:r w:rsidRPr="0025424D">
              <w:rPr>
                <w:rFonts w:ascii="Arial" w:eastAsia="Calibri" w:hAnsi="Arial" w:cs="Arial"/>
                <w:lang w:eastAsia="en-US"/>
              </w:rPr>
              <w:t xml:space="preserve"> Relatório Parcial 02: RP 02 Resultados dos Estudos Geológicos e Geomorfológicos, Mapa Geológico e Síntese da Hidro-climatologia.</w:t>
            </w:r>
          </w:p>
        </w:tc>
        <w:tc>
          <w:tcPr>
            <w:tcW w:w="2091" w:type="dxa"/>
            <w:vAlign w:val="center"/>
          </w:tcPr>
          <w:p w:rsidR="0025424D" w:rsidRPr="0025424D" w:rsidRDefault="0025424D" w:rsidP="0025424D">
            <w:pPr>
              <w:jc w:val="center"/>
              <w:rPr>
                <w:rFonts w:ascii="Arial" w:eastAsia="Calibri" w:hAnsi="Arial" w:cs="Arial"/>
                <w:lang w:eastAsia="en-US"/>
              </w:rPr>
            </w:pPr>
            <w:r w:rsidRPr="0025424D">
              <w:rPr>
                <w:rFonts w:ascii="Arial" w:eastAsia="Calibri" w:hAnsi="Arial" w:cs="Arial"/>
                <w:lang w:eastAsia="en-US"/>
              </w:rPr>
              <w:t>10% do montante</w:t>
            </w:r>
          </w:p>
        </w:tc>
      </w:tr>
      <w:tr w:rsidR="0025424D" w:rsidRPr="0025424D" w:rsidTr="00533722">
        <w:trPr>
          <w:trHeight w:val="148"/>
          <w:jc w:val="center"/>
        </w:trPr>
        <w:tc>
          <w:tcPr>
            <w:tcW w:w="1484" w:type="dxa"/>
            <w:vAlign w:val="center"/>
          </w:tcPr>
          <w:p w:rsidR="0025424D" w:rsidRPr="0025424D" w:rsidRDefault="0025424D" w:rsidP="0025424D">
            <w:pPr>
              <w:widowControl w:val="0"/>
              <w:jc w:val="center"/>
              <w:rPr>
                <w:rFonts w:ascii="Arial" w:eastAsia="Calibri" w:hAnsi="Arial" w:cs="Arial"/>
                <w:lang w:eastAsia="en-US"/>
              </w:rPr>
            </w:pPr>
            <w:r w:rsidRPr="0025424D">
              <w:rPr>
                <w:rFonts w:ascii="Arial" w:eastAsia="Calibri" w:hAnsi="Arial" w:cs="Arial"/>
                <w:lang w:eastAsia="en-US"/>
              </w:rPr>
              <w:t>150 dias</w:t>
            </w:r>
          </w:p>
        </w:tc>
        <w:tc>
          <w:tcPr>
            <w:tcW w:w="5430" w:type="dxa"/>
            <w:vAlign w:val="center"/>
          </w:tcPr>
          <w:p w:rsidR="0025424D" w:rsidRPr="0025424D" w:rsidRDefault="0025424D" w:rsidP="0025424D">
            <w:pPr>
              <w:widowControl w:val="0"/>
              <w:jc w:val="both"/>
              <w:rPr>
                <w:rFonts w:ascii="Arial" w:eastAsia="Calibri" w:hAnsi="Arial" w:cs="Arial"/>
                <w:lang w:eastAsia="en-US"/>
              </w:rPr>
            </w:pPr>
            <w:r w:rsidRPr="0025424D">
              <w:rPr>
                <w:rFonts w:ascii="Arial" w:eastAsia="Calibri" w:hAnsi="Arial" w:cs="Arial"/>
                <w:lang w:eastAsia="en-US"/>
              </w:rPr>
              <w:t xml:space="preserve"> Relatório Parcial 03: RP 03 - contendo os resultados da seleção e perfuração de poços para definição da rede de monitoramento qualitativo-quantitativo.</w:t>
            </w:r>
          </w:p>
        </w:tc>
        <w:tc>
          <w:tcPr>
            <w:tcW w:w="2091" w:type="dxa"/>
            <w:vAlign w:val="center"/>
          </w:tcPr>
          <w:p w:rsidR="0025424D" w:rsidRPr="0025424D" w:rsidRDefault="0025424D" w:rsidP="0025424D">
            <w:pPr>
              <w:jc w:val="center"/>
              <w:rPr>
                <w:rFonts w:ascii="Arial" w:eastAsia="Calibri" w:hAnsi="Arial" w:cs="Arial"/>
                <w:lang w:eastAsia="en-US"/>
              </w:rPr>
            </w:pPr>
            <w:r w:rsidRPr="0025424D">
              <w:rPr>
                <w:rFonts w:ascii="Arial" w:eastAsia="Calibri" w:hAnsi="Arial" w:cs="Arial"/>
                <w:lang w:eastAsia="en-US"/>
              </w:rPr>
              <w:t>15% do montante</w:t>
            </w:r>
          </w:p>
        </w:tc>
      </w:tr>
      <w:tr w:rsidR="0025424D" w:rsidRPr="0025424D" w:rsidTr="00533722">
        <w:trPr>
          <w:trHeight w:val="1311"/>
          <w:jc w:val="center"/>
        </w:trPr>
        <w:tc>
          <w:tcPr>
            <w:tcW w:w="1484" w:type="dxa"/>
            <w:vAlign w:val="center"/>
          </w:tcPr>
          <w:p w:rsidR="0025424D" w:rsidRPr="0025424D" w:rsidRDefault="0025424D" w:rsidP="0025424D">
            <w:pPr>
              <w:widowControl w:val="0"/>
              <w:jc w:val="center"/>
              <w:rPr>
                <w:rFonts w:ascii="Arial" w:eastAsia="Calibri" w:hAnsi="Arial" w:cs="Arial"/>
                <w:lang w:eastAsia="en-US"/>
              </w:rPr>
            </w:pPr>
            <w:r w:rsidRPr="0025424D">
              <w:rPr>
                <w:rFonts w:ascii="Arial" w:eastAsia="Calibri" w:hAnsi="Arial" w:cs="Arial"/>
                <w:lang w:eastAsia="en-US"/>
              </w:rPr>
              <w:t>180 dias</w:t>
            </w:r>
          </w:p>
        </w:tc>
        <w:tc>
          <w:tcPr>
            <w:tcW w:w="5430" w:type="dxa"/>
            <w:vAlign w:val="center"/>
          </w:tcPr>
          <w:p w:rsidR="0025424D" w:rsidRPr="0025424D" w:rsidRDefault="0025424D" w:rsidP="0025424D">
            <w:pPr>
              <w:widowControl w:val="0"/>
              <w:jc w:val="both"/>
              <w:rPr>
                <w:rFonts w:ascii="Arial" w:eastAsia="Calibri" w:hAnsi="Arial" w:cs="Arial"/>
                <w:lang w:eastAsia="en-US"/>
              </w:rPr>
            </w:pPr>
            <w:r w:rsidRPr="0025424D">
              <w:rPr>
                <w:rFonts w:ascii="Arial" w:eastAsia="Calibri" w:hAnsi="Arial" w:cs="Arial"/>
                <w:lang w:eastAsia="en-US"/>
              </w:rPr>
              <w:t xml:space="preserve"> Relatório Parcial 04: RP 04 contendo os resultados dos estudos e cadastramento dos poços da rede de monitoramento e resultados das análises físico-químicas na área dos aquíferos porososincluindo nivelamento, potenciometria, perfilagens geofísicas, testes de aquífero, avaliação reservas hídricas, avaliação da vulnerabilidade e zoneamento de explotação.</w:t>
            </w:r>
          </w:p>
        </w:tc>
        <w:tc>
          <w:tcPr>
            <w:tcW w:w="2091" w:type="dxa"/>
            <w:vAlign w:val="center"/>
          </w:tcPr>
          <w:p w:rsidR="0025424D" w:rsidRPr="0025424D" w:rsidRDefault="0025424D" w:rsidP="0025424D">
            <w:pPr>
              <w:jc w:val="center"/>
              <w:rPr>
                <w:rFonts w:ascii="Arial" w:eastAsia="Calibri" w:hAnsi="Arial" w:cs="Arial"/>
                <w:lang w:eastAsia="en-US"/>
              </w:rPr>
            </w:pPr>
            <w:r w:rsidRPr="0025424D">
              <w:rPr>
                <w:rFonts w:ascii="Arial" w:eastAsia="Calibri" w:hAnsi="Arial" w:cs="Arial"/>
                <w:lang w:eastAsia="en-US"/>
              </w:rPr>
              <w:t>15% do montante</w:t>
            </w:r>
          </w:p>
        </w:tc>
      </w:tr>
      <w:tr w:rsidR="0025424D" w:rsidRPr="0025424D" w:rsidTr="00533722">
        <w:trPr>
          <w:trHeight w:val="2020"/>
          <w:jc w:val="center"/>
        </w:trPr>
        <w:tc>
          <w:tcPr>
            <w:tcW w:w="1484" w:type="dxa"/>
            <w:vAlign w:val="center"/>
          </w:tcPr>
          <w:p w:rsidR="0025424D" w:rsidRPr="0025424D" w:rsidRDefault="0025424D" w:rsidP="0025424D">
            <w:pPr>
              <w:widowControl w:val="0"/>
              <w:jc w:val="center"/>
              <w:rPr>
                <w:rFonts w:ascii="Arial" w:eastAsia="Calibri" w:hAnsi="Arial" w:cs="Arial"/>
                <w:lang w:eastAsia="en-US"/>
              </w:rPr>
            </w:pPr>
            <w:r w:rsidRPr="0025424D">
              <w:rPr>
                <w:rFonts w:ascii="Arial" w:eastAsia="Calibri" w:hAnsi="Arial" w:cs="Arial"/>
                <w:lang w:eastAsia="en-US"/>
              </w:rPr>
              <w:t>240 dias</w:t>
            </w:r>
          </w:p>
        </w:tc>
        <w:tc>
          <w:tcPr>
            <w:tcW w:w="5430" w:type="dxa"/>
            <w:vAlign w:val="center"/>
          </w:tcPr>
          <w:p w:rsidR="0025424D" w:rsidRPr="0025424D" w:rsidRDefault="0025424D" w:rsidP="0025424D">
            <w:pPr>
              <w:widowControl w:val="0"/>
              <w:jc w:val="both"/>
              <w:rPr>
                <w:rFonts w:ascii="Arial" w:eastAsia="Calibri" w:hAnsi="Arial" w:cs="Arial"/>
                <w:lang w:eastAsia="en-US"/>
              </w:rPr>
            </w:pPr>
            <w:r w:rsidRPr="0025424D">
              <w:rPr>
                <w:rFonts w:ascii="Arial" w:eastAsia="Calibri" w:hAnsi="Arial" w:cs="Arial"/>
                <w:lang w:eastAsia="en-US"/>
              </w:rPr>
              <w:t>Relatório Parcial 05: RP 05 contendo os resultados dos estudos e cadastramento dos poços da rede de monitoramento e resultados das análises físico-químicas na área dos aquíferos fissurais, incluindo nivelamento, potenciometria, perfilagens geofísicas, testes de aquífero, avaliação reservas hídricas, avaliação da vulnerabilidade e zoneamento de explotação.</w:t>
            </w:r>
          </w:p>
        </w:tc>
        <w:tc>
          <w:tcPr>
            <w:tcW w:w="2091" w:type="dxa"/>
            <w:vAlign w:val="center"/>
          </w:tcPr>
          <w:p w:rsidR="0025424D" w:rsidRPr="0025424D" w:rsidRDefault="0025424D" w:rsidP="0025424D">
            <w:pPr>
              <w:jc w:val="center"/>
              <w:rPr>
                <w:rFonts w:ascii="Arial" w:eastAsia="Calibri" w:hAnsi="Arial" w:cs="Arial"/>
                <w:lang w:eastAsia="en-US"/>
              </w:rPr>
            </w:pPr>
            <w:r w:rsidRPr="0025424D">
              <w:rPr>
                <w:rFonts w:ascii="Arial" w:eastAsia="Calibri" w:hAnsi="Arial" w:cs="Arial"/>
                <w:lang w:eastAsia="en-US"/>
              </w:rPr>
              <w:t>15% do montante</w:t>
            </w:r>
          </w:p>
        </w:tc>
      </w:tr>
      <w:tr w:rsidR="0025424D" w:rsidRPr="0025424D" w:rsidTr="00533722">
        <w:trPr>
          <w:trHeight w:val="534"/>
          <w:jc w:val="center"/>
        </w:trPr>
        <w:tc>
          <w:tcPr>
            <w:tcW w:w="1484" w:type="dxa"/>
            <w:vAlign w:val="center"/>
          </w:tcPr>
          <w:p w:rsidR="0025424D" w:rsidRPr="0025424D" w:rsidRDefault="0025424D" w:rsidP="0025424D">
            <w:pPr>
              <w:widowControl w:val="0"/>
              <w:jc w:val="center"/>
              <w:rPr>
                <w:rFonts w:ascii="Arial" w:eastAsia="Calibri" w:hAnsi="Arial" w:cs="Arial"/>
                <w:lang w:eastAsia="en-US"/>
              </w:rPr>
            </w:pPr>
            <w:r w:rsidRPr="0025424D">
              <w:rPr>
                <w:rFonts w:ascii="Arial" w:eastAsia="Calibri" w:hAnsi="Arial" w:cs="Arial"/>
                <w:lang w:eastAsia="en-US"/>
              </w:rPr>
              <w:t>300 dias</w:t>
            </w:r>
          </w:p>
        </w:tc>
        <w:tc>
          <w:tcPr>
            <w:tcW w:w="5430" w:type="dxa"/>
            <w:vAlign w:val="center"/>
          </w:tcPr>
          <w:p w:rsidR="0025424D" w:rsidRPr="0025424D" w:rsidRDefault="0025424D" w:rsidP="0025424D">
            <w:pPr>
              <w:widowControl w:val="0"/>
              <w:jc w:val="both"/>
              <w:rPr>
                <w:rFonts w:ascii="Arial" w:eastAsia="Calibri" w:hAnsi="Arial" w:cs="Arial"/>
                <w:lang w:eastAsia="en-US"/>
              </w:rPr>
            </w:pPr>
            <w:r w:rsidRPr="0025424D">
              <w:rPr>
                <w:rFonts w:ascii="Arial" w:eastAsia="Calibri" w:hAnsi="Arial" w:cs="Arial"/>
                <w:lang w:eastAsia="en-US"/>
              </w:rPr>
              <w:t>Diagnóstico Geral dos Recursos Hídricos Subterrâneos eProposta deModelo de Gestão das águas subterrâneas da região CE-NO.</w:t>
            </w:r>
          </w:p>
        </w:tc>
        <w:tc>
          <w:tcPr>
            <w:tcW w:w="2091" w:type="dxa"/>
            <w:vAlign w:val="center"/>
          </w:tcPr>
          <w:p w:rsidR="0025424D" w:rsidRPr="0025424D" w:rsidRDefault="0025424D" w:rsidP="0025424D">
            <w:pPr>
              <w:jc w:val="center"/>
              <w:rPr>
                <w:rFonts w:ascii="Arial" w:eastAsia="Calibri" w:hAnsi="Arial" w:cs="Arial"/>
                <w:lang w:eastAsia="en-US"/>
              </w:rPr>
            </w:pPr>
            <w:r w:rsidRPr="0025424D">
              <w:rPr>
                <w:rFonts w:ascii="Arial" w:eastAsia="Calibri" w:hAnsi="Arial" w:cs="Arial"/>
                <w:lang w:eastAsia="en-US"/>
              </w:rPr>
              <w:t>10% do montante</w:t>
            </w:r>
          </w:p>
        </w:tc>
      </w:tr>
      <w:tr w:rsidR="0025424D" w:rsidRPr="0025424D" w:rsidTr="00533722">
        <w:trPr>
          <w:trHeight w:val="531"/>
          <w:jc w:val="center"/>
        </w:trPr>
        <w:tc>
          <w:tcPr>
            <w:tcW w:w="1484" w:type="dxa"/>
            <w:vAlign w:val="center"/>
          </w:tcPr>
          <w:p w:rsidR="0025424D" w:rsidRPr="0025424D" w:rsidRDefault="0025424D" w:rsidP="0025424D">
            <w:pPr>
              <w:widowControl w:val="0"/>
              <w:jc w:val="center"/>
              <w:rPr>
                <w:rFonts w:ascii="Arial" w:eastAsia="Calibri" w:hAnsi="Arial" w:cs="Arial"/>
                <w:lang w:eastAsia="en-US"/>
              </w:rPr>
            </w:pPr>
            <w:r w:rsidRPr="0025424D">
              <w:rPr>
                <w:rFonts w:ascii="Arial" w:eastAsia="Calibri" w:hAnsi="Arial" w:cs="Arial"/>
                <w:lang w:eastAsia="en-US"/>
              </w:rPr>
              <w:t>360 dias</w:t>
            </w:r>
          </w:p>
        </w:tc>
        <w:tc>
          <w:tcPr>
            <w:tcW w:w="5430" w:type="dxa"/>
            <w:vAlign w:val="center"/>
          </w:tcPr>
          <w:p w:rsidR="0025424D" w:rsidRPr="0025424D" w:rsidRDefault="0025424D" w:rsidP="0025424D">
            <w:pPr>
              <w:widowControl w:val="0"/>
              <w:jc w:val="both"/>
              <w:rPr>
                <w:rFonts w:ascii="Arial" w:eastAsia="Calibri" w:hAnsi="Arial" w:cs="Arial"/>
                <w:lang w:eastAsia="en-US"/>
              </w:rPr>
            </w:pPr>
            <w:r w:rsidRPr="0025424D">
              <w:rPr>
                <w:rFonts w:ascii="Arial" w:eastAsia="Calibri" w:hAnsi="Arial" w:cs="Arial"/>
                <w:lang w:eastAsia="en-US"/>
              </w:rPr>
              <w:t>Relatório Final: texto e mapas.</w:t>
            </w:r>
          </w:p>
        </w:tc>
        <w:tc>
          <w:tcPr>
            <w:tcW w:w="2091" w:type="dxa"/>
            <w:vAlign w:val="center"/>
          </w:tcPr>
          <w:p w:rsidR="0025424D" w:rsidRPr="0025424D" w:rsidRDefault="0025424D" w:rsidP="0025424D">
            <w:pPr>
              <w:jc w:val="center"/>
              <w:rPr>
                <w:rFonts w:ascii="Arial" w:eastAsia="Calibri" w:hAnsi="Arial" w:cs="Arial"/>
                <w:lang w:eastAsia="en-US"/>
              </w:rPr>
            </w:pPr>
            <w:r w:rsidRPr="0025424D">
              <w:rPr>
                <w:rFonts w:ascii="Arial" w:eastAsia="Calibri" w:hAnsi="Arial" w:cs="Arial"/>
                <w:lang w:eastAsia="en-US"/>
              </w:rPr>
              <w:t>10% do montante</w:t>
            </w:r>
          </w:p>
        </w:tc>
      </w:tr>
    </w:tbl>
    <w:p w:rsidR="0025424D" w:rsidRPr="0025424D" w:rsidRDefault="0025424D" w:rsidP="0025424D">
      <w:pPr>
        <w:widowControl w:val="0"/>
        <w:spacing w:line="276" w:lineRule="auto"/>
        <w:ind w:firstLine="709"/>
        <w:jc w:val="both"/>
        <w:rPr>
          <w:rFonts w:ascii="Arial" w:eastAsia="Calibri" w:hAnsi="Arial" w:cs="Arial"/>
          <w:b/>
          <w:sz w:val="24"/>
          <w:szCs w:val="24"/>
          <w:lang w:eastAsia="en-US"/>
        </w:rPr>
      </w:pPr>
    </w:p>
    <w:p w:rsidR="0025424D" w:rsidRPr="0025424D" w:rsidRDefault="0025424D" w:rsidP="0025424D">
      <w:pPr>
        <w:widowControl w:val="0"/>
        <w:spacing w:after="200" w:line="276" w:lineRule="auto"/>
        <w:ind w:firstLine="709"/>
        <w:jc w:val="both"/>
        <w:rPr>
          <w:rFonts w:ascii="Arial" w:eastAsia="Calibri" w:hAnsi="Arial" w:cs="Arial"/>
          <w:bCs/>
          <w:sz w:val="24"/>
          <w:szCs w:val="24"/>
          <w:lang w:eastAsia="en-US"/>
        </w:rPr>
      </w:pPr>
      <w:r w:rsidRPr="0025424D">
        <w:rPr>
          <w:rFonts w:ascii="Arial" w:eastAsia="Calibri" w:hAnsi="Arial" w:cs="Arial"/>
          <w:bCs/>
          <w:sz w:val="24"/>
          <w:szCs w:val="24"/>
          <w:lang w:eastAsia="en-US"/>
        </w:rPr>
        <w:t>Os pagamentos serão realizados 30 dias depois da aceitação dos produtos e o recebimento da respectiva fatura (45 dias, no caso do pagamento final).</w:t>
      </w:r>
    </w:p>
    <w:p w:rsidR="0025424D" w:rsidRPr="0025424D" w:rsidRDefault="0025424D" w:rsidP="0025424D">
      <w:pPr>
        <w:widowControl w:val="0"/>
        <w:spacing w:before="240" w:after="240" w:line="276" w:lineRule="auto"/>
        <w:jc w:val="both"/>
        <w:rPr>
          <w:rFonts w:ascii="Arial" w:eastAsia="Arial Unicode MS" w:hAnsi="Arial" w:cs="Arial"/>
          <w:b/>
          <w:sz w:val="24"/>
          <w:szCs w:val="24"/>
          <w:lang w:eastAsia="en-US"/>
        </w:rPr>
      </w:pPr>
      <w:r w:rsidRPr="0025424D">
        <w:rPr>
          <w:rFonts w:ascii="Arial" w:eastAsia="Arial Unicode MS" w:hAnsi="Arial" w:cs="Arial"/>
          <w:b/>
          <w:sz w:val="24"/>
          <w:szCs w:val="24"/>
          <w:lang w:eastAsia="en-US"/>
        </w:rPr>
        <w:t>11.1 Custos de Execução dos Serviços</w:t>
      </w:r>
    </w:p>
    <w:p w:rsidR="0025424D" w:rsidRPr="0025424D" w:rsidRDefault="0025424D" w:rsidP="0025424D">
      <w:pPr>
        <w:widowControl w:val="0"/>
        <w:spacing w:before="100" w:after="100" w:line="276" w:lineRule="auto"/>
        <w:ind w:firstLine="709"/>
        <w:jc w:val="both"/>
        <w:rPr>
          <w:rFonts w:ascii="Arial" w:eastAsia="Calibri" w:hAnsi="Arial" w:cs="Arial"/>
          <w:bCs/>
          <w:sz w:val="24"/>
          <w:szCs w:val="24"/>
          <w:lang w:eastAsia="en-US"/>
        </w:rPr>
      </w:pPr>
      <w:r w:rsidRPr="0025424D">
        <w:rPr>
          <w:rFonts w:ascii="Arial" w:eastAsia="Calibri" w:hAnsi="Arial" w:cs="Arial"/>
          <w:bCs/>
          <w:sz w:val="24"/>
          <w:szCs w:val="24"/>
          <w:lang w:eastAsia="en-US"/>
        </w:rPr>
        <w:t xml:space="preserve"> A Licitante deverá incluir em seu orçamento (Proposta Financeira) as despesas referentes a:</w:t>
      </w:r>
    </w:p>
    <w:p w:rsidR="0025424D" w:rsidRPr="0025424D" w:rsidRDefault="0025424D" w:rsidP="00533722">
      <w:pPr>
        <w:numPr>
          <w:ilvl w:val="0"/>
          <w:numId w:val="7"/>
        </w:numPr>
        <w:tabs>
          <w:tab w:val="left" w:pos="800"/>
        </w:tabs>
        <w:spacing w:after="240" w:line="276" w:lineRule="auto"/>
        <w:jc w:val="both"/>
        <w:rPr>
          <w:rFonts w:ascii="Arial" w:eastAsia="Batang" w:hAnsi="Arial" w:cs="Arial"/>
          <w:sz w:val="24"/>
          <w:szCs w:val="24"/>
          <w:lang w:eastAsia="pt-BR"/>
        </w:rPr>
      </w:pPr>
      <w:r w:rsidRPr="0025424D">
        <w:rPr>
          <w:rFonts w:ascii="Arial" w:eastAsia="Batang" w:hAnsi="Arial" w:cs="Arial"/>
          <w:sz w:val="24"/>
          <w:szCs w:val="24"/>
          <w:lang w:eastAsia="pt-BR"/>
        </w:rPr>
        <w:t>Passagens aéreas necessárias para o deslocamento da equipe da Licitante para serviços no Tocantins;</w:t>
      </w:r>
    </w:p>
    <w:p w:rsidR="0025424D" w:rsidRPr="0025424D" w:rsidRDefault="0025424D" w:rsidP="00533722">
      <w:pPr>
        <w:numPr>
          <w:ilvl w:val="0"/>
          <w:numId w:val="7"/>
        </w:numPr>
        <w:tabs>
          <w:tab w:val="left" w:pos="800"/>
        </w:tabs>
        <w:spacing w:after="240" w:line="276" w:lineRule="auto"/>
        <w:jc w:val="both"/>
        <w:rPr>
          <w:rFonts w:ascii="Arial" w:eastAsia="Batang" w:hAnsi="Arial" w:cs="Arial"/>
          <w:sz w:val="24"/>
          <w:szCs w:val="24"/>
          <w:lang w:eastAsia="pt-BR"/>
        </w:rPr>
      </w:pPr>
      <w:r w:rsidRPr="0025424D">
        <w:rPr>
          <w:rFonts w:ascii="Arial" w:eastAsia="Batang" w:hAnsi="Arial" w:cs="Arial"/>
          <w:sz w:val="24"/>
          <w:szCs w:val="24"/>
          <w:lang w:eastAsia="pt-BR"/>
        </w:rPr>
        <w:t>Passagens aéreas para dois representantes da Contratante que acompanharão a execução dos serviços na sede da Contratada. Considerar o máximo de 06 passagens para os representantes da Contratante (trecho Palmas / sede da contratada / Palmas);</w:t>
      </w:r>
    </w:p>
    <w:p w:rsidR="0025424D" w:rsidRPr="0025424D" w:rsidRDefault="0025424D" w:rsidP="00533722">
      <w:pPr>
        <w:numPr>
          <w:ilvl w:val="0"/>
          <w:numId w:val="7"/>
        </w:numPr>
        <w:tabs>
          <w:tab w:val="left" w:pos="800"/>
        </w:tabs>
        <w:spacing w:after="100" w:line="276" w:lineRule="auto"/>
        <w:jc w:val="both"/>
        <w:rPr>
          <w:rFonts w:ascii="Arial" w:eastAsia="Batang" w:hAnsi="Arial" w:cs="Arial"/>
          <w:sz w:val="24"/>
          <w:szCs w:val="24"/>
          <w:lang w:eastAsia="pt-BR"/>
        </w:rPr>
      </w:pPr>
      <w:r w:rsidRPr="0025424D">
        <w:rPr>
          <w:rFonts w:ascii="Arial" w:eastAsia="Batang" w:hAnsi="Arial" w:cs="Arial"/>
          <w:sz w:val="24"/>
          <w:szCs w:val="24"/>
          <w:lang w:eastAsia="pt-BR"/>
        </w:rPr>
        <w:t>Passagens aéreas para três representantes da Contratante para realizar v</w:t>
      </w:r>
      <w:r w:rsidRPr="0025424D">
        <w:rPr>
          <w:rFonts w:ascii="Arial" w:eastAsia="Times New Roman" w:hAnsi="Arial" w:cs="Arial"/>
          <w:sz w:val="24"/>
          <w:szCs w:val="24"/>
          <w:lang w:eastAsia="pt-BR"/>
        </w:rPr>
        <w:t xml:space="preserve">isita técnica a projetos com experiências exitosas, com vista à obtenção de </w:t>
      </w:r>
      <w:r w:rsidRPr="0025424D">
        <w:rPr>
          <w:rFonts w:ascii="Arial" w:eastAsia="Times New Roman" w:hAnsi="Arial" w:cs="Arial"/>
          <w:sz w:val="24"/>
          <w:szCs w:val="24"/>
          <w:lang w:eastAsia="pt-BR"/>
        </w:rPr>
        <w:lastRenderedPageBreak/>
        <w:t>conhecimentos técnicos ou científicos aplicados</w:t>
      </w:r>
      <w:r w:rsidRPr="0025424D">
        <w:rPr>
          <w:rFonts w:ascii="Arial" w:eastAsia="Batang" w:hAnsi="Arial" w:cs="Arial"/>
          <w:sz w:val="24"/>
          <w:szCs w:val="24"/>
          <w:lang w:eastAsia="pt-BR"/>
        </w:rPr>
        <w:t>. Considerar o máximo de 04 passagens para os servidores da Contratante;</w:t>
      </w:r>
    </w:p>
    <w:p w:rsidR="0025424D" w:rsidRPr="0025424D" w:rsidRDefault="0025424D" w:rsidP="00533722">
      <w:pPr>
        <w:numPr>
          <w:ilvl w:val="0"/>
          <w:numId w:val="7"/>
        </w:numPr>
        <w:tabs>
          <w:tab w:val="left" w:pos="800"/>
        </w:tabs>
        <w:spacing w:after="100" w:line="276" w:lineRule="auto"/>
        <w:jc w:val="both"/>
        <w:rPr>
          <w:rFonts w:ascii="Arial" w:eastAsia="Batang" w:hAnsi="Arial" w:cs="Arial"/>
          <w:sz w:val="24"/>
          <w:szCs w:val="24"/>
          <w:lang w:eastAsia="pt-BR"/>
        </w:rPr>
      </w:pPr>
      <w:r w:rsidRPr="0025424D">
        <w:rPr>
          <w:rFonts w:ascii="Arial" w:eastAsia="Batang" w:hAnsi="Arial" w:cs="Arial"/>
          <w:sz w:val="24"/>
          <w:szCs w:val="24"/>
          <w:lang w:eastAsia="pt-BR"/>
        </w:rPr>
        <w:t>Diárias para hospedagem, alimentação e deslocamentos in / out aeroporto para a equipe da Licitante em serviço no Tocantins;</w:t>
      </w:r>
    </w:p>
    <w:p w:rsidR="0025424D" w:rsidRPr="0025424D" w:rsidRDefault="0025424D" w:rsidP="00533722">
      <w:pPr>
        <w:numPr>
          <w:ilvl w:val="0"/>
          <w:numId w:val="7"/>
        </w:numPr>
        <w:tabs>
          <w:tab w:val="left" w:pos="800"/>
        </w:tabs>
        <w:spacing w:before="100" w:after="100" w:line="276" w:lineRule="auto"/>
        <w:jc w:val="both"/>
        <w:rPr>
          <w:rFonts w:ascii="Arial" w:eastAsia="Batang" w:hAnsi="Arial" w:cs="Arial"/>
          <w:sz w:val="24"/>
          <w:szCs w:val="24"/>
          <w:lang w:eastAsia="pt-BR"/>
        </w:rPr>
      </w:pPr>
      <w:r w:rsidRPr="0025424D">
        <w:rPr>
          <w:rFonts w:ascii="Arial" w:eastAsia="Batang" w:hAnsi="Arial" w:cs="Arial"/>
          <w:sz w:val="24"/>
          <w:szCs w:val="24"/>
          <w:lang w:eastAsia="pt-BR"/>
        </w:rPr>
        <w:t>Diárias para hospedagem, alimentação e deslocamentos in / out aeroporto para dois representantes da Contratante quando estiverem na sede da contratada para acompanhamento dos serviços (considerar quatro dias para cada representante em cada visita);</w:t>
      </w:r>
    </w:p>
    <w:p w:rsidR="0025424D" w:rsidRPr="0025424D" w:rsidRDefault="0025424D" w:rsidP="00533722">
      <w:pPr>
        <w:numPr>
          <w:ilvl w:val="0"/>
          <w:numId w:val="7"/>
        </w:numPr>
        <w:tabs>
          <w:tab w:val="left" w:pos="800"/>
          <w:tab w:val="num" w:pos="993"/>
        </w:tabs>
        <w:spacing w:before="100" w:after="100" w:line="276" w:lineRule="auto"/>
        <w:jc w:val="both"/>
        <w:rPr>
          <w:rFonts w:ascii="Arial" w:eastAsia="Batang" w:hAnsi="Arial" w:cs="Arial"/>
          <w:sz w:val="24"/>
          <w:szCs w:val="24"/>
          <w:lang w:eastAsia="pt-BR"/>
        </w:rPr>
      </w:pPr>
      <w:r w:rsidRPr="0025424D">
        <w:rPr>
          <w:rFonts w:ascii="Arial" w:eastAsia="Batang" w:hAnsi="Arial" w:cs="Arial"/>
          <w:sz w:val="24"/>
          <w:szCs w:val="24"/>
          <w:lang w:eastAsia="pt-BR"/>
        </w:rPr>
        <w:t>Comunicação (Internet e telefone);</w:t>
      </w:r>
    </w:p>
    <w:p w:rsidR="0025424D" w:rsidRPr="0025424D" w:rsidRDefault="0025424D" w:rsidP="00533722">
      <w:pPr>
        <w:numPr>
          <w:ilvl w:val="0"/>
          <w:numId w:val="7"/>
        </w:numPr>
        <w:tabs>
          <w:tab w:val="left" w:pos="800"/>
        </w:tabs>
        <w:spacing w:before="100" w:after="100" w:line="276" w:lineRule="auto"/>
        <w:jc w:val="both"/>
        <w:rPr>
          <w:rFonts w:ascii="Arial" w:eastAsia="Batang" w:hAnsi="Arial" w:cs="Arial"/>
          <w:sz w:val="24"/>
          <w:szCs w:val="24"/>
          <w:lang w:eastAsia="pt-BR"/>
        </w:rPr>
      </w:pPr>
      <w:r w:rsidRPr="0025424D">
        <w:rPr>
          <w:rFonts w:ascii="Arial" w:eastAsia="Batang" w:hAnsi="Arial" w:cs="Arial"/>
          <w:sz w:val="24"/>
          <w:szCs w:val="24"/>
          <w:lang w:eastAsia="pt-BR"/>
        </w:rPr>
        <w:t>Serviços de digitalização;</w:t>
      </w:r>
    </w:p>
    <w:p w:rsidR="0025424D" w:rsidRPr="0025424D" w:rsidRDefault="0025424D" w:rsidP="00533722">
      <w:pPr>
        <w:numPr>
          <w:ilvl w:val="0"/>
          <w:numId w:val="7"/>
        </w:numPr>
        <w:tabs>
          <w:tab w:val="left" w:pos="800"/>
          <w:tab w:val="num" w:pos="993"/>
        </w:tabs>
        <w:spacing w:before="100" w:after="100" w:line="276" w:lineRule="auto"/>
        <w:jc w:val="both"/>
        <w:rPr>
          <w:rFonts w:ascii="Arial" w:eastAsia="Batang" w:hAnsi="Arial" w:cs="Arial"/>
          <w:sz w:val="24"/>
          <w:szCs w:val="24"/>
          <w:lang w:eastAsia="pt-BR"/>
        </w:rPr>
      </w:pPr>
      <w:r w:rsidRPr="0025424D">
        <w:rPr>
          <w:rFonts w:ascii="Arial" w:eastAsia="Batang" w:hAnsi="Arial" w:cs="Arial"/>
          <w:sz w:val="24"/>
          <w:szCs w:val="24"/>
          <w:lang w:eastAsia="pt-BR"/>
        </w:rPr>
        <w:t>Impressão de relatórios e de mapas temáticos; gravação em mídia;</w:t>
      </w:r>
    </w:p>
    <w:p w:rsidR="0025424D" w:rsidRPr="0025424D" w:rsidRDefault="0025424D" w:rsidP="00533722">
      <w:pPr>
        <w:numPr>
          <w:ilvl w:val="0"/>
          <w:numId w:val="7"/>
        </w:numPr>
        <w:tabs>
          <w:tab w:val="left" w:pos="800"/>
        </w:tabs>
        <w:spacing w:before="100" w:after="100" w:line="276" w:lineRule="auto"/>
        <w:jc w:val="both"/>
        <w:rPr>
          <w:rFonts w:ascii="Arial" w:eastAsia="Batang" w:hAnsi="Arial" w:cs="Arial"/>
          <w:sz w:val="24"/>
          <w:szCs w:val="24"/>
          <w:lang w:eastAsia="pt-BR"/>
        </w:rPr>
      </w:pPr>
      <w:r w:rsidRPr="0025424D">
        <w:rPr>
          <w:rFonts w:ascii="Arial" w:eastAsia="Batang" w:hAnsi="Arial" w:cs="Arial"/>
          <w:sz w:val="24"/>
          <w:szCs w:val="24"/>
          <w:lang w:eastAsia="pt-BR"/>
        </w:rPr>
        <w:t>Sobrevôo, caso a Consultora julgue necessário para a execução dos serviços;</w:t>
      </w:r>
    </w:p>
    <w:p w:rsidR="0025424D" w:rsidRPr="0025424D" w:rsidRDefault="0025424D" w:rsidP="00533722">
      <w:pPr>
        <w:numPr>
          <w:ilvl w:val="0"/>
          <w:numId w:val="7"/>
        </w:numPr>
        <w:tabs>
          <w:tab w:val="left" w:pos="800"/>
          <w:tab w:val="num" w:pos="993"/>
        </w:tabs>
        <w:spacing w:before="100" w:after="100" w:line="276" w:lineRule="auto"/>
        <w:jc w:val="both"/>
        <w:rPr>
          <w:rFonts w:ascii="Arial" w:eastAsia="Batang" w:hAnsi="Arial" w:cs="Arial"/>
          <w:sz w:val="24"/>
          <w:szCs w:val="24"/>
          <w:lang w:eastAsia="pt-BR"/>
        </w:rPr>
      </w:pPr>
      <w:r w:rsidRPr="0025424D">
        <w:rPr>
          <w:rFonts w:ascii="Arial" w:eastAsia="Batang" w:hAnsi="Arial" w:cs="Arial"/>
          <w:sz w:val="24"/>
          <w:szCs w:val="24"/>
          <w:lang w:eastAsia="pt-BR"/>
        </w:rPr>
        <w:t>Outros recursos considerados necessários pela Licitante para a execução dos serviços.</w:t>
      </w:r>
    </w:p>
    <w:p w:rsidR="0025424D" w:rsidRPr="0025424D" w:rsidRDefault="0025424D" w:rsidP="0025424D">
      <w:pPr>
        <w:widowControl w:val="0"/>
        <w:spacing w:before="240" w:after="240" w:line="276" w:lineRule="auto"/>
        <w:jc w:val="both"/>
        <w:rPr>
          <w:rFonts w:ascii="Arial" w:eastAsia="Calibri" w:hAnsi="Arial" w:cs="Arial"/>
          <w:b/>
          <w:sz w:val="24"/>
          <w:szCs w:val="24"/>
          <w:lang w:eastAsia="en-US"/>
        </w:rPr>
      </w:pPr>
      <w:r w:rsidRPr="0025424D">
        <w:rPr>
          <w:rFonts w:ascii="Arial" w:eastAsia="Calibri" w:hAnsi="Arial" w:cs="Arial"/>
          <w:b/>
          <w:sz w:val="24"/>
          <w:szCs w:val="24"/>
          <w:lang w:eastAsia="en-US"/>
        </w:rPr>
        <w:t>12. QUALIFICAÇÃO TÉCNICA</w:t>
      </w:r>
    </w:p>
    <w:p w:rsidR="0025424D" w:rsidRPr="0025424D" w:rsidRDefault="0025424D" w:rsidP="0025424D">
      <w:pPr>
        <w:widowControl w:val="0"/>
        <w:numPr>
          <w:ilvl w:val="12"/>
          <w:numId w:val="0"/>
        </w:numPr>
        <w:spacing w:after="100" w:line="276" w:lineRule="auto"/>
        <w:jc w:val="both"/>
        <w:rPr>
          <w:rFonts w:ascii="Arial" w:eastAsia="Arial Unicode MS" w:hAnsi="Arial" w:cs="Arial"/>
          <w:b/>
          <w:sz w:val="24"/>
          <w:szCs w:val="24"/>
          <w:lang w:eastAsia="en-US"/>
        </w:rPr>
      </w:pPr>
      <w:r w:rsidRPr="0025424D">
        <w:rPr>
          <w:rFonts w:ascii="Arial" w:eastAsia="Arial Unicode MS" w:hAnsi="Arial" w:cs="Arial"/>
          <w:b/>
          <w:sz w:val="24"/>
          <w:szCs w:val="24"/>
          <w:lang w:eastAsia="en-US"/>
        </w:rPr>
        <w:t>12.1 Da Empresa ou Consórcio</w:t>
      </w:r>
      <w:r w:rsidRPr="0025424D">
        <w:rPr>
          <w:rFonts w:ascii="Arial" w:eastAsia="Arial Unicode MS" w:hAnsi="Arial" w:cs="Arial"/>
          <w:sz w:val="24"/>
          <w:szCs w:val="24"/>
          <w:lang w:eastAsia="en-US"/>
        </w:rPr>
        <w:t xml:space="preserve"> d</w:t>
      </w:r>
      <w:r w:rsidRPr="0025424D">
        <w:rPr>
          <w:rFonts w:ascii="Arial" w:eastAsia="Arial Unicode MS" w:hAnsi="Arial" w:cs="Arial"/>
          <w:b/>
          <w:bCs/>
          <w:sz w:val="24"/>
          <w:szCs w:val="24"/>
          <w:lang w:eastAsia="en-US"/>
        </w:rPr>
        <w:t>e Empresas</w:t>
      </w:r>
    </w:p>
    <w:p w:rsidR="0025424D" w:rsidRPr="0025424D" w:rsidRDefault="0025424D" w:rsidP="0025424D">
      <w:pPr>
        <w:widowControl w:val="0"/>
        <w:spacing w:before="100" w:after="100" w:line="276" w:lineRule="auto"/>
        <w:ind w:firstLine="709"/>
        <w:jc w:val="both"/>
        <w:rPr>
          <w:rFonts w:ascii="Arial" w:eastAsia="Calibri" w:hAnsi="Arial" w:cs="Arial"/>
          <w:bCs/>
          <w:sz w:val="24"/>
          <w:szCs w:val="24"/>
          <w:lang w:eastAsia="en-US"/>
        </w:rPr>
      </w:pPr>
      <w:r w:rsidRPr="0025424D">
        <w:rPr>
          <w:rFonts w:ascii="Arial" w:eastAsia="Calibri" w:hAnsi="Arial" w:cs="Arial"/>
          <w:bCs/>
          <w:sz w:val="24"/>
          <w:szCs w:val="24"/>
          <w:lang w:eastAsia="en-US"/>
        </w:rPr>
        <w:t>A empresa consultora ou consórcio de empresas deverá apresentar Atestados de Capacidade Técnica emitidos por pessoa jurídica de direito público ou privado, comprovando a experiência na execução de serviços similares aos propostos neste TdR.</w:t>
      </w:r>
    </w:p>
    <w:p w:rsidR="0025424D" w:rsidRPr="0025424D" w:rsidRDefault="0025424D" w:rsidP="0025424D">
      <w:pPr>
        <w:widowControl w:val="0"/>
        <w:spacing w:before="100" w:after="100" w:line="276" w:lineRule="auto"/>
        <w:ind w:firstLine="709"/>
        <w:jc w:val="both"/>
        <w:rPr>
          <w:rFonts w:ascii="Arial" w:eastAsia="Calibri" w:hAnsi="Arial" w:cs="Arial"/>
          <w:bCs/>
          <w:sz w:val="24"/>
          <w:szCs w:val="24"/>
          <w:lang w:eastAsia="en-US"/>
        </w:rPr>
      </w:pPr>
      <w:r w:rsidRPr="0025424D">
        <w:rPr>
          <w:rFonts w:ascii="Arial" w:eastAsia="Calibri" w:hAnsi="Arial" w:cs="Arial"/>
          <w:bCs/>
          <w:sz w:val="24"/>
          <w:szCs w:val="24"/>
          <w:lang w:eastAsia="en-US"/>
        </w:rPr>
        <w:t>Os Atestados de Capacidade Técnica deverão ser emitidos em papel timbrado do informante/emissor, com nome, função e telefone de contato de quem os assina.</w:t>
      </w:r>
    </w:p>
    <w:p w:rsidR="0025424D" w:rsidRPr="0025424D" w:rsidRDefault="0025424D" w:rsidP="0025424D">
      <w:pPr>
        <w:widowControl w:val="0"/>
        <w:spacing w:line="276" w:lineRule="auto"/>
        <w:ind w:firstLine="709"/>
        <w:jc w:val="both"/>
        <w:rPr>
          <w:rFonts w:ascii="Arial" w:eastAsia="Calibri" w:hAnsi="Arial" w:cs="Arial"/>
          <w:bCs/>
          <w:sz w:val="24"/>
          <w:szCs w:val="24"/>
          <w:lang w:eastAsia="en-US"/>
        </w:rPr>
      </w:pPr>
      <w:r w:rsidRPr="0025424D">
        <w:rPr>
          <w:rFonts w:ascii="Arial" w:eastAsia="Calibri" w:hAnsi="Arial" w:cs="Arial"/>
          <w:bCs/>
          <w:sz w:val="24"/>
          <w:szCs w:val="24"/>
          <w:lang w:eastAsia="en-US"/>
        </w:rPr>
        <w:t>A critério da Contratante pode ser solicitada a apresentação e/ou entrega de cópias dos trabalhos informados nos Atestados de Capacidade Técnica das empresas ou consórcios de empresas proponentes para verificação.</w:t>
      </w:r>
    </w:p>
    <w:p w:rsidR="0025424D" w:rsidRPr="0025424D" w:rsidRDefault="0025424D" w:rsidP="0025424D">
      <w:pPr>
        <w:widowControl w:val="0"/>
        <w:spacing w:line="276" w:lineRule="auto"/>
        <w:ind w:firstLine="567"/>
        <w:jc w:val="both"/>
        <w:rPr>
          <w:rFonts w:ascii="Arial" w:eastAsia="Calibri" w:hAnsi="Arial" w:cs="Arial"/>
          <w:bCs/>
          <w:sz w:val="24"/>
          <w:szCs w:val="24"/>
          <w:lang w:eastAsia="en-US"/>
        </w:rPr>
      </w:pPr>
    </w:p>
    <w:p w:rsidR="0025424D" w:rsidRPr="0025424D" w:rsidRDefault="0025424D" w:rsidP="0025424D">
      <w:pPr>
        <w:widowControl w:val="0"/>
        <w:spacing w:after="200" w:line="276" w:lineRule="auto"/>
        <w:jc w:val="both"/>
        <w:rPr>
          <w:rFonts w:ascii="Arial" w:eastAsia="Arial Unicode MS" w:hAnsi="Arial" w:cs="Arial"/>
          <w:b/>
          <w:sz w:val="24"/>
          <w:szCs w:val="24"/>
          <w:lang w:eastAsia="en-US"/>
        </w:rPr>
      </w:pPr>
      <w:r w:rsidRPr="0025424D">
        <w:rPr>
          <w:rFonts w:ascii="Arial" w:eastAsia="Arial Unicode MS" w:hAnsi="Arial" w:cs="Arial"/>
          <w:b/>
          <w:sz w:val="24"/>
          <w:szCs w:val="24"/>
          <w:lang w:eastAsia="en-US"/>
        </w:rPr>
        <w:t>12.2. Da Equipe Técnica</w:t>
      </w:r>
    </w:p>
    <w:p w:rsidR="0025424D" w:rsidRPr="0025424D" w:rsidRDefault="0025424D" w:rsidP="0025424D">
      <w:pPr>
        <w:widowControl w:val="0"/>
        <w:spacing w:after="200" w:line="276" w:lineRule="auto"/>
        <w:ind w:firstLine="709"/>
        <w:jc w:val="both"/>
        <w:rPr>
          <w:rFonts w:ascii="Arial" w:eastAsia="Calibri" w:hAnsi="Arial" w:cs="Arial"/>
          <w:bCs/>
          <w:sz w:val="24"/>
          <w:szCs w:val="24"/>
          <w:lang w:eastAsia="en-US"/>
        </w:rPr>
      </w:pPr>
      <w:r w:rsidRPr="0025424D">
        <w:rPr>
          <w:rFonts w:ascii="Arial" w:eastAsia="Calibri" w:hAnsi="Arial" w:cs="Arial"/>
          <w:bCs/>
          <w:sz w:val="24"/>
          <w:szCs w:val="24"/>
          <w:lang w:eastAsia="en-US"/>
        </w:rPr>
        <w:t>A equipe para elaboração dos Estudos de Hidrogeologia da Região Sudestes do Estado do Tocantins deverá ser composta por equipes técnicas de consultoria e de especialistas de apoio individual, incluindo o grupo de apoio administrativo.</w:t>
      </w:r>
    </w:p>
    <w:p w:rsidR="0025424D" w:rsidRPr="0025424D" w:rsidRDefault="0025424D" w:rsidP="0025424D">
      <w:pPr>
        <w:widowControl w:val="0"/>
        <w:spacing w:after="200" w:line="276" w:lineRule="auto"/>
        <w:ind w:firstLine="709"/>
        <w:jc w:val="both"/>
        <w:rPr>
          <w:rFonts w:ascii="Arial" w:eastAsia="Calibri" w:hAnsi="Arial" w:cs="Arial"/>
          <w:bCs/>
          <w:sz w:val="24"/>
          <w:szCs w:val="24"/>
          <w:lang w:eastAsia="en-US"/>
        </w:rPr>
      </w:pPr>
      <w:r w:rsidRPr="0025424D">
        <w:rPr>
          <w:rFonts w:ascii="Arial" w:eastAsia="Calibri" w:hAnsi="Arial" w:cs="Arial"/>
          <w:bCs/>
          <w:sz w:val="24"/>
          <w:szCs w:val="24"/>
          <w:lang w:eastAsia="en-US"/>
        </w:rPr>
        <w:t>A equipe técnica-chave deverá ser formada por 1 coordenador geral e 5 especialistas que atendam os seguintes requisitos:</w:t>
      </w:r>
    </w:p>
    <w:p w:rsidR="0025424D" w:rsidRPr="0025424D" w:rsidRDefault="0025424D" w:rsidP="00533722">
      <w:pPr>
        <w:numPr>
          <w:ilvl w:val="0"/>
          <w:numId w:val="7"/>
        </w:numPr>
        <w:spacing w:after="200" w:line="276" w:lineRule="auto"/>
        <w:jc w:val="both"/>
        <w:rPr>
          <w:rFonts w:ascii="Arial" w:eastAsia="Calibri" w:hAnsi="Arial" w:cs="Arial"/>
          <w:sz w:val="24"/>
          <w:szCs w:val="24"/>
          <w:lang w:eastAsia="en-US"/>
        </w:rPr>
      </w:pPr>
      <w:r w:rsidRPr="0025424D">
        <w:rPr>
          <w:rFonts w:ascii="Arial" w:eastAsia="Calibri" w:hAnsi="Arial" w:cs="Arial"/>
          <w:b/>
          <w:sz w:val="24"/>
          <w:szCs w:val="24"/>
          <w:lang w:eastAsia="en-US"/>
        </w:rPr>
        <w:t xml:space="preserve">Coordenador geral </w:t>
      </w:r>
      <w:r w:rsidRPr="0025424D">
        <w:rPr>
          <w:rFonts w:ascii="Arial" w:eastAsia="Calibri" w:hAnsi="Arial" w:cs="Arial"/>
          <w:sz w:val="24"/>
          <w:szCs w:val="24"/>
          <w:lang w:eastAsia="en-US"/>
        </w:rPr>
        <w:t xml:space="preserve">– formação acadêmica em geologia, especialista em hidrogeologia, devendo possuir título de pós-graduação, de preferência o doutorado. Deverá ter uma experiência mínima de 10 anos na área da </w:t>
      </w:r>
      <w:r w:rsidRPr="0025424D">
        <w:rPr>
          <w:rFonts w:ascii="Arial" w:eastAsia="Calibri" w:hAnsi="Arial" w:cs="Arial"/>
          <w:sz w:val="24"/>
          <w:szCs w:val="24"/>
          <w:lang w:eastAsia="en-US"/>
        </w:rPr>
        <w:lastRenderedPageBreak/>
        <w:t xml:space="preserve">hidrogeologia e principalmente na coordenação de trabalhos de planejamento em recursos hídricos, incluindo o gerenciamento de projetos multidisciplinares; </w:t>
      </w:r>
    </w:p>
    <w:p w:rsidR="0025424D" w:rsidRPr="0025424D" w:rsidRDefault="0025424D" w:rsidP="00533722">
      <w:pPr>
        <w:numPr>
          <w:ilvl w:val="0"/>
          <w:numId w:val="7"/>
        </w:numPr>
        <w:spacing w:after="200" w:line="276" w:lineRule="auto"/>
        <w:jc w:val="both"/>
        <w:rPr>
          <w:rFonts w:ascii="Arial" w:eastAsia="Calibri" w:hAnsi="Arial" w:cs="Arial"/>
          <w:sz w:val="24"/>
          <w:szCs w:val="24"/>
          <w:lang w:eastAsia="en-US"/>
        </w:rPr>
      </w:pPr>
      <w:r w:rsidRPr="0025424D">
        <w:rPr>
          <w:rFonts w:ascii="Arial" w:eastAsia="Calibri" w:hAnsi="Arial" w:cs="Arial"/>
          <w:b/>
          <w:sz w:val="24"/>
          <w:szCs w:val="24"/>
          <w:lang w:eastAsia="en-US"/>
        </w:rPr>
        <w:t xml:space="preserve">Geólogo especialista em hidrogeologia </w:t>
      </w:r>
      <w:r w:rsidRPr="0025424D">
        <w:rPr>
          <w:rFonts w:ascii="Arial" w:eastAsia="Calibri" w:hAnsi="Arial" w:cs="Arial"/>
          <w:sz w:val="24"/>
          <w:szCs w:val="24"/>
          <w:lang w:eastAsia="en-US"/>
        </w:rPr>
        <w:t>– com formação em geologia e pelo menos o curso de mestrado em hidrogeologia, devendo possuir experiência mínima de 10 anos nessa área.</w:t>
      </w:r>
    </w:p>
    <w:p w:rsidR="0025424D" w:rsidRPr="0025424D" w:rsidRDefault="0025424D" w:rsidP="00533722">
      <w:pPr>
        <w:numPr>
          <w:ilvl w:val="0"/>
          <w:numId w:val="7"/>
        </w:numPr>
        <w:spacing w:after="200" w:line="276" w:lineRule="auto"/>
        <w:jc w:val="both"/>
        <w:rPr>
          <w:rFonts w:ascii="Arial" w:eastAsia="Calibri" w:hAnsi="Arial" w:cs="Arial"/>
          <w:sz w:val="24"/>
          <w:szCs w:val="24"/>
          <w:lang w:eastAsia="en-US"/>
        </w:rPr>
      </w:pPr>
      <w:r w:rsidRPr="0025424D">
        <w:rPr>
          <w:rFonts w:ascii="Arial" w:eastAsia="Calibri" w:hAnsi="Arial" w:cs="Arial"/>
          <w:b/>
          <w:sz w:val="24"/>
          <w:szCs w:val="24"/>
          <w:lang w:eastAsia="en-US"/>
        </w:rPr>
        <w:t>Especialista em hidroquímica</w:t>
      </w:r>
      <w:r w:rsidRPr="0025424D">
        <w:rPr>
          <w:rFonts w:ascii="Arial" w:eastAsia="Calibri" w:hAnsi="Arial" w:cs="Arial"/>
          <w:sz w:val="24"/>
          <w:szCs w:val="24"/>
          <w:lang w:eastAsia="en-US"/>
        </w:rPr>
        <w:t>– com formação em química, geologia, ou engenharia sanitária e pós graduação em hidroquímica ou em saneamento ambiental, devendo possuir experiência de pelo meno</w:t>
      </w:r>
      <w:r w:rsidRPr="0025424D">
        <w:rPr>
          <w:rFonts w:ascii="Arial" w:eastAsia="Calibri" w:hAnsi="Arial" w:cs="Arial"/>
          <w:b/>
          <w:sz w:val="24"/>
          <w:szCs w:val="24"/>
          <w:lang w:eastAsia="en-US"/>
        </w:rPr>
        <w:t>s 10 anos em trabalhos de hidroquímica</w:t>
      </w:r>
      <w:r w:rsidRPr="0025424D">
        <w:rPr>
          <w:rFonts w:ascii="Arial" w:eastAsia="Calibri" w:hAnsi="Arial" w:cs="Arial"/>
          <w:sz w:val="24"/>
          <w:szCs w:val="24"/>
          <w:lang w:eastAsia="en-US"/>
        </w:rPr>
        <w:t>.</w:t>
      </w:r>
    </w:p>
    <w:p w:rsidR="0025424D" w:rsidRPr="0025424D" w:rsidRDefault="0025424D" w:rsidP="00533722">
      <w:pPr>
        <w:numPr>
          <w:ilvl w:val="0"/>
          <w:numId w:val="7"/>
        </w:numPr>
        <w:spacing w:after="200" w:line="276" w:lineRule="auto"/>
        <w:jc w:val="both"/>
        <w:rPr>
          <w:rFonts w:ascii="Arial" w:eastAsia="Calibri" w:hAnsi="Arial" w:cs="Arial"/>
          <w:sz w:val="24"/>
          <w:szCs w:val="24"/>
          <w:lang w:eastAsia="en-US"/>
        </w:rPr>
      </w:pPr>
      <w:r w:rsidRPr="0025424D">
        <w:rPr>
          <w:rFonts w:ascii="Arial" w:eastAsia="Calibri" w:hAnsi="Arial" w:cs="Arial"/>
          <w:b/>
          <w:sz w:val="24"/>
          <w:szCs w:val="24"/>
          <w:lang w:eastAsia="en-US"/>
        </w:rPr>
        <w:t>Especialista em hidrologia</w:t>
      </w:r>
      <w:r w:rsidRPr="0025424D">
        <w:rPr>
          <w:rFonts w:ascii="Arial" w:eastAsia="Calibri" w:hAnsi="Arial" w:cs="Arial"/>
          <w:sz w:val="24"/>
          <w:szCs w:val="24"/>
          <w:lang w:eastAsia="en-US"/>
        </w:rPr>
        <w:t>- com formação em engenharia civil e mestrado em hidrologia, mostrando experiência mínima de 10 anos nessa área.</w:t>
      </w:r>
    </w:p>
    <w:p w:rsidR="0025424D" w:rsidRPr="0025424D" w:rsidRDefault="0025424D" w:rsidP="00533722">
      <w:pPr>
        <w:widowControl w:val="0"/>
        <w:numPr>
          <w:ilvl w:val="0"/>
          <w:numId w:val="1"/>
        </w:numPr>
        <w:tabs>
          <w:tab w:val="clear" w:pos="720"/>
          <w:tab w:val="left" w:pos="142"/>
          <w:tab w:val="left" w:pos="851"/>
          <w:tab w:val="num" w:pos="1430"/>
        </w:tabs>
        <w:spacing w:after="200" w:line="276" w:lineRule="auto"/>
        <w:ind w:left="709" w:hanging="283"/>
        <w:jc w:val="both"/>
        <w:rPr>
          <w:rFonts w:ascii="Arial" w:eastAsia="Calibri" w:hAnsi="Arial" w:cs="Arial"/>
          <w:bCs/>
          <w:sz w:val="24"/>
          <w:szCs w:val="24"/>
          <w:lang w:eastAsia="en-US"/>
        </w:rPr>
      </w:pPr>
      <w:r w:rsidRPr="0025424D">
        <w:rPr>
          <w:rFonts w:ascii="Arial" w:eastAsia="Calibri" w:hAnsi="Arial" w:cs="Arial"/>
          <w:b/>
          <w:sz w:val="24"/>
          <w:szCs w:val="24"/>
          <w:lang w:eastAsia="en-US"/>
        </w:rPr>
        <w:t xml:space="preserve">Especialista em geoprocessamento </w:t>
      </w:r>
      <w:r w:rsidRPr="0025424D">
        <w:rPr>
          <w:rFonts w:ascii="Arial" w:eastAsia="Calibri" w:hAnsi="Arial" w:cs="Arial"/>
          <w:sz w:val="24"/>
          <w:szCs w:val="24"/>
          <w:lang w:eastAsia="en-US"/>
        </w:rPr>
        <w:t>– com formação em engenharia cartográfica, engenharia civil, engenharia florestal, agronomia, geografia, engenharia ambiental, geologia, ou outra área correlata, com experiência mínima de 5 anos no uso e aplicação de geoprocessamento em qualquer das áreas constantes dos estudos a serem contratados.</w:t>
      </w:r>
    </w:p>
    <w:p w:rsidR="0025424D" w:rsidRPr="0025424D" w:rsidRDefault="0025424D" w:rsidP="0025424D">
      <w:pPr>
        <w:widowControl w:val="0"/>
        <w:spacing w:after="120" w:line="276" w:lineRule="auto"/>
        <w:ind w:firstLine="709"/>
        <w:jc w:val="both"/>
        <w:rPr>
          <w:rFonts w:ascii="Arial" w:eastAsia="Calibri" w:hAnsi="Arial" w:cs="Arial"/>
          <w:bCs/>
          <w:sz w:val="24"/>
          <w:szCs w:val="24"/>
          <w:lang w:eastAsia="en-US"/>
        </w:rPr>
      </w:pPr>
      <w:r w:rsidRPr="0025424D">
        <w:rPr>
          <w:rFonts w:ascii="Arial" w:eastAsia="Calibri" w:hAnsi="Arial" w:cs="Arial"/>
          <w:bCs/>
          <w:sz w:val="24"/>
          <w:szCs w:val="24"/>
          <w:lang w:eastAsia="en-US"/>
        </w:rPr>
        <w:t>Além da equipe-chave, a consultora deverá considerar a necessidade de participação de outros profissionais e especialistas em tópicos pontuais.</w:t>
      </w:r>
    </w:p>
    <w:p w:rsidR="0025424D" w:rsidRPr="0025424D" w:rsidRDefault="0025424D" w:rsidP="0025424D">
      <w:pPr>
        <w:widowControl w:val="0"/>
        <w:spacing w:line="276" w:lineRule="auto"/>
        <w:ind w:firstLine="709"/>
        <w:jc w:val="both"/>
        <w:rPr>
          <w:rFonts w:ascii="Arial" w:eastAsia="Calibri" w:hAnsi="Arial" w:cs="Arial"/>
          <w:bCs/>
          <w:sz w:val="24"/>
          <w:szCs w:val="24"/>
          <w:lang w:eastAsia="en-US"/>
        </w:rPr>
      </w:pPr>
      <w:r w:rsidRPr="0025424D">
        <w:rPr>
          <w:rFonts w:ascii="Arial" w:eastAsia="Calibri" w:hAnsi="Arial" w:cs="Arial"/>
          <w:bCs/>
          <w:sz w:val="24"/>
          <w:szCs w:val="24"/>
          <w:lang w:eastAsia="en-US"/>
        </w:rPr>
        <w:t>Após a assinatura do contrato não serão admitidas substituições de nomes de especialistas na composição da equipe técnica, exceto quando previamente autorizado pela SEMADES e desde que o profissional substituto apresente qualificações equivalentes ou superiores às do profissional substituído. Em hipótese alguma será aceita a substituição do Coordenador Geral, exceto por razões imperiosas, fora do controle da empresa ou consórcio de empresas, devidamente aceitas pelo cliente.</w:t>
      </w:r>
    </w:p>
    <w:p w:rsidR="0025424D" w:rsidRPr="0025424D" w:rsidRDefault="0025424D" w:rsidP="0025424D">
      <w:pPr>
        <w:widowControl w:val="0"/>
        <w:spacing w:line="276" w:lineRule="auto"/>
        <w:ind w:firstLine="567"/>
        <w:jc w:val="both"/>
        <w:rPr>
          <w:rFonts w:ascii="Arial" w:eastAsia="Calibri" w:hAnsi="Arial" w:cs="Arial"/>
          <w:bCs/>
          <w:sz w:val="24"/>
          <w:szCs w:val="24"/>
          <w:lang w:eastAsia="en-US"/>
        </w:rPr>
      </w:pPr>
    </w:p>
    <w:p w:rsidR="0025424D" w:rsidRDefault="0025424D" w:rsidP="0025424D">
      <w:pPr>
        <w:widowControl w:val="0"/>
        <w:spacing w:after="200" w:line="276" w:lineRule="auto"/>
        <w:ind w:firstLine="709"/>
        <w:jc w:val="both"/>
        <w:rPr>
          <w:rFonts w:ascii="Arial" w:eastAsia="Calibri" w:hAnsi="Arial" w:cs="Arial"/>
          <w:sz w:val="24"/>
          <w:szCs w:val="24"/>
          <w:lang w:eastAsia="en-US"/>
        </w:rPr>
        <w:sectPr w:rsidR="0025424D">
          <w:headerReference w:type="default" r:id="rId80"/>
          <w:footerReference w:type="even" r:id="rId81"/>
          <w:footerReference w:type="default" r:id="rId82"/>
          <w:pgSz w:w="11907" w:h="16840" w:code="9"/>
          <w:pgMar w:top="1701" w:right="1134" w:bottom="1134" w:left="1701" w:header="709" w:footer="709" w:gutter="0"/>
          <w:cols w:space="708"/>
          <w:docGrid w:linePitch="360"/>
        </w:sectPr>
      </w:pPr>
    </w:p>
    <w:p w:rsidR="0025424D" w:rsidRDefault="0025424D" w:rsidP="0025424D">
      <w:pPr>
        <w:widowControl w:val="0"/>
        <w:spacing w:after="200" w:line="276" w:lineRule="auto"/>
        <w:ind w:firstLine="709"/>
        <w:jc w:val="both"/>
      </w:pPr>
    </w:p>
    <w:p w:rsidR="0025424D" w:rsidRPr="00EE4D0F" w:rsidRDefault="0025424D" w:rsidP="0025424D">
      <w:pPr>
        <w:widowControl w:val="0"/>
        <w:jc w:val="center"/>
        <w:rPr>
          <w:rFonts w:ascii="Arial" w:hAnsi="Arial" w:cs="Arial"/>
          <w:b/>
          <w:sz w:val="24"/>
          <w:szCs w:val="24"/>
        </w:rPr>
      </w:pPr>
      <w:r>
        <w:rPr>
          <w:rFonts w:ascii="Arial" w:hAnsi="Arial" w:cs="Arial"/>
          <w:b/>
          <w:sz w:val="24"/>
          <w:szCs w:val="24"/>
        </w:rPr>
        <w:t>13.</w:t>
      </w:r>
      <w:r w:rsidRPr="00EE4D0F">
        <w:rPr>
          <w:rFonts w:ascii="Arial" w:hAnsi="Arial" w:cs="Arial"/>
          <w:b/>
          <w:sz w:val="24"/>
          <w:szCs w:val="24"/>
        </w:rPr>
        <w:t>CRONOGRAMA DE EXECUÇÃO</w:t>
      </w:r>
    </w:p>
    <w:p w:rsidR="0025424D" w:rsidRDefault="0025424D" w:rsidP="0025424D">
      <w:pPr>
        <w:widowControl w:val="0"/>
        <w:rPr>
          <w:rFonts w:ascii="Arial" w:hAnsi="Arial" w:cs="Arial"/>
          <w:sz w:val="24"/>
          <w:szCs w:val="24"/>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4"/>
        <w:gridCol w:w="709"/>
        <w:gridCol w:w="705"/>
        <w:gridCol w:w="704"/>
        <w:gridCol w:w="703"/>
        <w:gridCol w:w="704"/>
        <w:gridCol w:w="704"/>
        <w:gridCol w:w="704"/>
        <w:gridCol w:w="703"/>
        <w:gridCol w:w="704"/>
        <w:gridCol w:w="706"/>
        <w:gridCol w:w="706"/>
        <w:gridCol w:w="611"/>
      </w:tblGrid>
      <w:tr w:rsidR="0025424D" w:rsidTr="00533722">
        <w:tc>
          <w:tcPr>
            <w:tcW w:w="7054" w:type="dxa"/>
            <w:vAlign w:val="center"/>
          </w:tcPr>
          <w:p w:rsidR="0025424D" w:rsidRPr="0025424D" w:rsidRDefault="0025424D" w:rsidP="00533722">
            <w:pPr>
              <w:widowControl w:val="0"/>
              <w:jc w:val="center"/>
              <w:rPr>
                <w:rFonts w:ascii="Arial" w:hAnsi="Arial" w:cs="Arial"/>
                <w:b/>
                <w:bCs/>
                <w:sz w:val="24"/>
                <w:szCs w:val="24"/>
              </w:rPr>
            </w:pPr>
            <w:r w:rsidRPr="0025424D">
              <w:rPr>
                <w:rFonts w:ascii="Arial" w:hAnsi="Arial" w:cs="Arial"/>
                <w:b/>
                <w:bCs/>
                <w:sz w:val="24"/>
                <w:szCs w:val="24"/>
              </w:rPr>
              <w:t>PROFISSIONAIS</w:t>
            </w:r>
          </w:p>
        </w:tc>
        <w:tc>
          <w:tcPr>
            <w:tcW w:w="8363" w:type="dxa"/>
            <w:gridSpan w:val="12"/>
            <w:vAlign w:val="center"/>
          </w:tcPr>
          <w:p w:rsidR="0025424D" w:rsidRPr="0025424D" w:rsidRDefault="0025424D" w:rsidP="00533722">
            <w:pPr>
              <w:widowControl w:val="0"/>
              <w:jc w:val="center"/>
              <w:rPr>
                <w:rFonts w:ascii="Arial" w:hAnsi="Arial" w:cs="Arial"/>
                <w:b/>
                <w:bCs/>
                <w:sz w:val="24"/>
                <w:szCs w:val="24"/>
              </w:rPr>
            </w:pPr>
            <w:r w:rsidRPr="0025424D">
              <w:rPr>
                <w:rFonts w:ascii="Arial" w:hAnsi="Arial" w:cs="Arial"/>
                <w:b/>
                <w:bCs/>
                <w:sz w:val="24"/>
                <w:szCs w:val="24"/>
              </w:rPr>
              <w:t>MÊS</w:t>
            </w:r>
          </w:p>
        </w:tc>
      </w:tr>
      <w:tr w:rsidR="0025424D" w:rsidTr="00533722">
        <w:tc>
          <w:tcPr>
            <w:tcW w:w="7054" w:type="dxa"/>
            <w:vAlign w:val="center"/>
          </w:tcPr>
          <w:p w:rsidR="0025424D" w:rsidRPr="0025424D" w:rsidRDefault="0025424D" w:rsidP="00533722">
            <w:pPr>
              <w:widowControl w:val="0"/>
              <w:jc w:val="center"/>
              <w:rPr>
                <w:rFonts w:ascii="Arial" w:hAnsi="Arial" w:cs="Arial"/>
                <w:b/>
                <w:bCs/>
                <w:sz w:val="24"/>
                <w:szCs w:val="24"/>
              </w:rPr>
            </w:pPr>
            <w:r w:rsidRPr="0025424D">
              <w:rPr>
                <w:rFonts w:ascii="Arial" w:hAnsi="Arial" w:cs="Arial"/>
                <w:b/>
                <w:bCs/>
                <w:sz w:val="24"/>
                <w:szCs w:val="24"/>
              </w:rPr>
              <w:t>CONSULTOR</w:t>
            </w:r>
          </w:p>
        </w:tc>
        <w:tc>
          <w:tcPr>
            <w:tcW w:w="709" w:type="dxa"/>
            <w:vAlign w:val="center"/>
          </w:tcPr>
          <w:p w:rsidR="0025424D" w:rsidRPr="0025424D" w:rsidRDefault="0025424D" w:rsidP="00533722">
            <w:pPr>
              <w:widowControl w:val="0"/>
              <w:jc w:val="center"/>
              <w:rPr>
                <w:rFonts w:ascii="Arial" w:hAnsi="Arial" w:cs="Arial"/>
                <w:b/>
                <w:bCs/>
                <w:sz w:val="24"/>
                <w:szCs w:val="24"/>
              </w:rPr>
            </w:pPr>
            <w:r w:rsidRPr="0025424D">
              <w:rPr>
                <w:rFonts w:ascii="Arial" w:hAnsi="Arial" w:cs="Arial"/>
                <w:b/>
                <w:bCs/>
                <w:sz w:val="24"/>
                <w:szCs w:val="24"/>
              </w:rPr>
              <w:t>1</w:t>
            </w:r>
          </w:p>
        </w:tc>
        <w:tc>
          <w:tcPr>
            <w:tcW w:w="705" w:type="dxa"/>
            <w:vAlign w:val="center"/>
          </w:tcPr>
          <w:p w:rsidR="0025424D" w:rsidRPr="0025424D" w:rsidRDefault="0025424D" w:rsidP="00533722">
            <w:pPr>
              <w:widowControl w:val="0"/>
              <w:jc w:val="center"/>
              <w:rPr>
                <w:rFonts w:ascii="Arial" w:hAnsi="Arial" w:cs="Arial"/>
                <w:b/>
                <w:bCs/>
                <w:sz w:val="24"/>
                <w:szCs w:val="24"/>
              </w:rPr>
            </w:pPr>
            <w:r w:rsidRPr="0025424D">
              <w:rPr>
                <w:rFonts w:ascii="Arial" w:hAnsi="Arial" w:cs="Arial"/>
                <w:b/>
                <w:bCs/>
                <w:sz w:val="24"/>
                <w:szCs w:val="24"/>
              </w:rPr>
              <w:t>2</w:t>
            </w:r>
          </w:p>
        </w:tc>
        <w:tc>
          <w:tcPr>
            <w:tcW w:w="704" w:type="dxa"/>
            <w:vAlign w:val="center"/>
          </w:tcPr>
          <w:p w:rsidR="0025424D" w:rsidRPr="0025424D" w:rsidRDefault="0025424D" w:rsidP="00533722">
            <w:pPr>
              <w:widowControl w:val="0"/>
              <w:jc w:val="center"/>
              <w:rPr>
                <w:rFonts w:ascii="Arial" w:hAnsi="Arial" w:cs="Arial"/>
                <w:b/>
                <w:bCs/>
                <w:sz w:val="24"/>
                <w:szCs w:val="24"/>
              </w:rPr>
            </w:pPr>
            <w:r w:rsidRPr="0025424D">
              <w:rPr>
                <w:rFonts w:ascii="Arial" w:hAnsi="Arial" w:cs="Arial"/>
                <w:b/>
                <w:bCs/>
                <w:sz w:val="24"/>
                <w:szCs w:val="24"/>
              </w:rPr>
              <w:t>3</w:t>
            </w:r>
          </w:p>
        </w:tc>
        <w:tc>
          <w:tcPr>
            <w:tcW w:w="703" w:type="dxa"/>
            <w:vAlign w:val="center"/>
          </w:tcPr>
          <w:p w:rsidR="0025424D" w:rsidRPr="0025424D" w:rsidRDefault="0025424D" w:rsidP="00533722">
            <w:pPr>
              <w:widowControl w:val="0"/>
              <w:jc w:val="center"/>
              <w:rPr>
                <w:rFonts w:ascii="Arial" w:hAnsi="Arial" w:cs="Arial"/>
                <w:b/>
                <w:bCs/>
                <w:sz w:val="24"/>
                <w:szCs w:val="24"/>
              </w:rPr>
            </w:pPr>
            <w:r w:rsidRPr="0025424D">
              <w:rPr>
                <w:rFonts w:ascii="Arial" w:hAnsi="Arial" w:cs="Arial"/>
                <w:b/>
                <w:bCs/>
                <w:sz w:val="24"/>
                <w:szCs w:val="24"/>
              </w:rPr>
              <w:t>4</w:t>
            </w:r>
          </w:p>
        </w:tc>
        <w:tc>
          <w:tcPr>
            <w:tcW w:w="704" w:type="dxa"/>
            <w:vAlign w:val="center"/>
          </w:tcPr>
          <w:p w:rsidR="0025424D" w:rsidRPr="0025424D" w:rsidRDefault="0025424D" w:rsidP="00533722">
            <w:pPr>
              <w:widowControl w:val="0"/>
              <w:jc w:val="center"/>
              <w:rPr>
                <w:rFonts w:ascii="Arial" w:hAnsi="Arial" w:cs="Arial"/>
                <w:b/>
                <w:bCs/>
                <w:sz w:val="24"/>
                <w:szCs w:val="24"/>
              </w:rPr>
            </w:pPr>
            <w:r w:rsidRPr="0025424D">
              <w:rPr>
                <w:rFonts w:ascii="Arial" w:hAnsi="Arial" w:cs="Arial"/>
                <w:b/>
                <w:bCs/>
                <w:sz w:val="24"/>
                <w:szCs w:val="24"/>
              </w:rPr>
              <w:t>5</w:t>
            </w:r>
          </w:p>
        </w:tc>
        <w:tc>
          <w:tcPr>
            <w:tcW w:w="704" w:type="dxa"/>
            <w:vAlign w:val="center"/>
          </w:tcPr>
          <w:p w:rsidR="0025424D" w:rsidRPr="0025424D" w:rsidRDefault="0025424D" w:rsidP="00533722">
            <w:pPr>
              <w:widowControl w:val="0"/>
              <w:jc w:val="center"/>
              <w:rPr>
                <w:rFonts w:ascii="Arial" w:hAnsi="Arial" w:cs="Arial"/>
                <w:b/>
                <w:bCs/>
                <w:sz w:val="24"/>
                <w:szCs w:val="24"/>
              </w:rPr>
            </w:pPr>
            <w:r w:rsidRPr="0025424D">
              <w:rPr>
                <w:rFonts w:ascii="Arial" w:hAnsi="Arial" w:cs="Arial"/>
                <w:b/>
                <w:bCs/>
                <w:sz w:val="24"/>
                <w:szCs w:val="24"/>
              </w:rPr>
              <w:t>6</w:t>
            </w:r>
          </w:p>
        </w:tc>
        <w:tc>
          <w:tcPr>
            <w:tcW w:w="704" w:type="dxa"/>
            <w:vAlign w:val="center"/>
          </w:tcPr>
          <w:p w:rsidR="0025424D" w:rsidRPr="0025424D" w:rsidRDefault="0025424D" w:rsidP="00533722">
            <w:pPr>
              <w:widowControl w:val="0"/>
              <w:jc w:val="center"/>
              <w:rPr>
                <w:rFonts w:ascii="Arial" w:hAnsi="Arial" w:cs="Arial"/>
                <w:b/>
                <w:bCs/>
                <w:sz w:val="24"/>
                <w:szCs w:val="24"/>
              </w:rPr>
            </w:pPr>
            <w:r w:rsidRPr="0025424D">
              <w:rPr>
                <w:rFonts w:ascii="Arial" w:hAnsi="Arial" w:cs="Arial"/>
                <w:b/>
                <w:bCs/>
                <w:sz w:val="24"/>
                <w:szCs w:val="24"/>
              </w:rPr>
              <w:t>7</w:t>
            </w:r>
          </w:p>
        </w:tc>
        <w:tc>
          <w:tcPr>
            <w:tcW w:w="703" w:type="dxa"/>
            <w:vAlign w:val="center"/>
          </w:tcPr>
          <w:p w:rsidR="0025424D" w:rsidRPr="0025424D" w:rsidRDefault="0025424D" w:rsidP="00533722">
            <w:pPr>
              <w:widowControl w:val="0"/>
              <w:jc w:val="center"/>
              <w:rPr>
                <w:rFonts w:ascii="Arial" w:hAnsi="Arial" w:cs="Arial"/>
                <w:b/>
                <w:bCs/>
                <w:sz w:val="24"/>
                <w:szCs w:val="24"/>
              </w:rPr>
            </w:pPr>
            <w:r w:rsidRPr="0025424D">
              <w:rPr>
                <w:rFonts w:ascii="Arial" w:hAnsi="Arial" w:cs="Arial"/>
                <w:b/>
                <w:bCs/>
                <w:sz w:val="24"/>
                <w:szCs w:val="24"/>
              </w:rPr>
              <w:t>8</w:t>
            </w:r>
          </w:p>
        </w:tc>
        <w:tc>
          <w:tcPr>
            <w:tcW w:w="704" w:type="dxa"/>
            <w:vAlign w:val="center"/>
          </w:tcPr>
          <w:p w:rsidR="0025424D" w:rsidRPr="0025424D" w:rsidRDefault="0025424D" w:rsidP="00533722">
            <w:pPr>
              <w:widowControl w:val="0"/>
              <w:jc w:val="center"/>
              <w:rPr>
                <w:rFonts w:ascii="Arial" w:hAnsi="Arial" w:cs="Arial"/>
                <w:b/>
                <w:bCs/>
                <w:sz w:val="24"/>
                <w:szCs w:val="24"/>
              </w:rPr>
            </w:pPr>
            <w:r w:rsidRPr="0025424D">
              <w:rPr>
                <w:rFonts w:ascii="Arial" w:hAnsi="Arial" w:cs="Arial"/>
                <w:b/>
                <w:bCs/>
                <w:sz w:val="24"/>
                <w:szCs w:val="24"/>
              </w:rPr>
              <w:t>9</w:t>
            </w:r>
          </w:p>
        </w:tc>
        <w:tc>
          <w:tcPr>
            <w:tcW w:w="706" w:type="dxa"/>
            <w:vAlign w:val="center"/>
          </w:tcPr>
          <w:p w:rsidR="0025424D" w:rsidRPr="0025424D" w:rsidRDefault="0025424D" w:rsidP="00533722">
            <w:pPr>
              <w:widowControl w:val="0"/>
              <w:jc w:val="center"/>
              <w:rPr>
                <w:rFonts w:ascii="Arial" w:hAnsi="Arial" w:cs="Arial"/>
                <w:b/>
                <w:bCs/>
                <w:sz w:val="24"/>
                <w:szCs w:val="24"/>
              </w:rPr>
            </w:pPr>
            <w:r w:rsidRPr="0025424D">
              <w:rPr>
                <w:rFonts w:ascii="Arial" w:hAnsi="Arial" w:cs="Arial"/>
                <w:b/>
                <w:bCs/>
                <w:sz w:val="24"/>
                <w:szCs w:val="24"/>
              </w:rPr>
              <w:t>10</w:t>
            </w:r>
          </w:p>
        </w:tc>
        <w:tc>
          <w:tcPr>
            <w:tcW w:w="706" w:type="dxa"/>
            <w:vAlign w:val="center"/>
          </w:tcPr>
          <w:p w:rsidR="0025424D" w:rsidRPr="0025424D" w:rsidRDefault="0025424D" w:rsidP="00533722">
            <w:pPr>
              <w:widowControl w:val="0"/>
              <w:jc w:val="center"/>
              <w:rPr>
                <w:rFonts w:ascii="Arial" w:hAnsi="Arial" w:cs="Arial"/>
                <w:b/>
                <w:bCs/>
                <w:sz w:val="24"/>
                <w:szCs w:val="24"/>
              </w:rPr>
            </w:pPr>
            <w:r w:rsidRPr="0025424D">
              <w:rPr>
                <w:rFonts w:ascii="Arial" w:hAnsi="Arial" w:cs="Arial"/>
                <w:b/>
                <w:bCs/>
                <w:sz w:val="24"/>
                <w:szCs w:val="24"/>
              </w:rPr>
              <w:t>11</w:t>
            </w:r>
          </w:p>
        </w:tc>
        <w:tc>
          <w:tcPr>
            <w:tcW w:w="611" w:type="dxa"/>
            <w:vAlign w:val="center"/>
          </w:tcPr>
          <w:p w:rsidR="0025424D" w:rsidRPr="0025424D" w:rsidRDefault="0025424D" w:rsidP="00533722">
            <w:pPr>
              <w:widowControl w:val="0"/>
              <w:jc w:val="center"/>
              <w:rPr>
                <w:rFonts w:ascii="Arial" w:hAnsi="Arial" w:cs="Arial"/>
                <w:b/>
                <w:bCs/>
                <w:sz w:val="24"/>
                <w:szCs w:val="24"/>
              </w:rPr>
            </w:pPr>
            <w:r w:rsidRPr="0025424D">
              <w:rPr>
                <w:rFonts w:ascii="Arial" w:hAnsi="Arial" w:cs="Arial"/>
                <w:b/>
                <w:bCs/>
                <w:sz w:val="24"/>
                <w:szCs w:val="24"/>
              </w:rPr>
              <w:t>12</w:t>
            </w:r>
          </w:p>
        </w:tc>
      </w:tr>
      <w:tr w:rsidR="0025424D" w:rsidTr="00533722">
        <w:tc>
          <w:tcPr>
            <w:tcW w:w="7054" w:type="dxa"/>
            <w:vAlign w:val="center"/>
          </w:tcPr>
          <w:p w:rsidR="0025424D" w:rsidRPr="0025424D" w:rsidRDefault="0025424D" w:rsidP="00533722">
            <w:pPr>
              <w:widowControl w:val="0"/>
              <w:rPr>
                <w:rFonts w:ascii="Arial" w:hAnsi="Arial" w:cs="Arial"/>
                <w:bCs/>
                <w:sz w:val="24"/>
                <w:szCs w:val="24"/>
              </w:rPr>
            </w:pPr>
            <w:r w:rsidRPr="0025424D">
              <w:rPr>
                <w:rFonts w:ascii="Arial" w:hAnsi="Arial" w:cs="Arial"/>
                <w:bCs/>
                <w:sz w:val="24"/>
                <w:szCs w:val="24"/>
              </w:rPr>
              <w:t>Coordenador</w:t>
            </w:r>
          </w:p>
        </w:tc>
        <w:tc>
          <w:tcPr>
            <w:tcW w:w="709" w:type="dxa"/>
            <w:shd w:val="clear" w:color="auto" w:fill="808080"/>
            <w:vAlign w:val="center"/>
          </w:tcPr>
          <w:p w:rsidR="0025424D" w:rsidRPr="0025424D" w:rsidRDefault="0025424D" w:rsidP="00533722">
            <w:pPr>
              <w:widowControl w:val="0"/>
              <w:rPr>
                <w:rFonts w:ascii="Arial" w:hAnsi="Arial" w:cs="Arial"/>
                <w:bCs/>
                <w:sz w:val="24"/>
                <w:szCs w:val="24"/>
              </w:rPr>
            </w:pPr>
          </w:p>
        </w:tc>
        <w:tc>
          <w:tcPr>
            <w:tcW w:w="705"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3"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3"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6"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6"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611" w:type="dxa"/>
            <w:shd w:val="clear" w:color="auto" w:fill="808080"/>
            <w:vAlign w:val="center"/>
          </w:tcPr>
          <w:p w:rsidR="0025424D" w:rsidRPr="0025424D" w:rsidRDefault="0025424D" w:rsidP="00533722">
            <w:pPr>
              <w:widowControl w:val="0"/>
              <w:jc w:val="center"/>
              <w:rPr>
                <w:rFonts w:ascii="Arial" w:hAnsi="Arial" w:cs="Arial"/>
                <w:bCs/>
                <w:sz w:val="24"/>
                <w:szCs w:val="24"/>
              </w:rPr>
            </w:pPr>
          </w:p>
        </w:tc>
      </w:tr>
      <w:tr w:rsidR="0025424D" w:rsidTr="00533722">
        <w:tc>
          <w:tcPr>
            <w:tcW w:w="7054" w:type="dxa"/>
            <w:vAlign w:val="center"/>
          </w:tcPr>
          <w:p w:rsidR="0025424D" w:rsidRPr="0025424D" w:rsidRDefault="0025424D" w:rsidP="00533722">
            <w:pPr>
              <w:widowControl w:val="0"/>
              <w:rPr>
                <w:rFonts w:ascii="Arial" w:hAnsi="Arial" w:cs="Arial"/>
                <w:bCs/>
                <w:sz w:val="24"/>
                <w:szCs w:val="24"/>
              </w:rPr>
            </w:pPr>
            <w:r w:rsidRPr="0025424D">
              <w:rPr>
                <w:rFonts w:ascii="Arial" w:hAnsi="Arial" w:cs="Arial"/>
                <w:bCs/>
                <w:sz w:val="24"/>
                <w:szCs w:val="24"/>
              </w:rPr>
              <w:t>Especialista em hidroquímica</w:t>
            </w:r>
          </w:p>
        </w:tc>
        <w:tc>
          <w:tcPr>
            <w:tcW w:w="709" w:type="dxa"/>
            <w:vAlign w:val="center"/>
          </w:tcPr>
          <w:p w:rsidR="0025424D" w:rsidRPr="0025424D" w:rsidRDefault="0025424D" w:rsidP="00533722">
            <w:pPr>
              <w:widowControl w:val="0"/>
              <w:jc w:val="center"/>
              <w:rPr>
                <w:rFonts w:ascii="Arial" w:hAnsi="Arial" w:cs="Arial"/>
                <w:bCs/>
                <w:sz w:val="24"/>
                <w:szCs w:val="24"/>
              </w:rPr>
            </w:pPr>
          </w:p>
        </w:tc>
        <w:tc>
          <w:tcPr>
            <w:tcW w:w="705" w:type="dxa"/>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3"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3"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6" w:type="dxa"/>
            <w:vAlign w:val="center"/>
          </w:tcPr>
          <w:p w:rsidR="0025424D" w:rsidRPr="0025424D" w:rsidRDefault="0025424D" w:rsidP="00533722">
            <w:pPr>
              <w:widowControl w:val="0"/>
              <w:jc w:val="center"/>
              <w:rPr>
                <w:rFonts w:ascii="Arial" w:hAnsi="Arial" w:cs="Arial"/>
                <w:bCs/>
                <w:sz w:val="24"/>
                <w:szCs w:val="24"/>
              </w:rPr>
            </w:pPr>
          </w:p>
        </w:tc>
        <w:tc>
          <w:tcPr>
            <w:tcW w:w="706" w:type="dxa"/>
            <w:vAlign w:val="center"/>
          </w:tcPr>
          <w:p w:rsidR="0025424D" w:rsidRPr="0025424D" w:rsidRDefault="0025424D" w:rsidP="00533722">
            <w:pPr>
              <w:widowControl w:val="0"/>
              <w:jc w:val="center"/>
              <w:rPr>
                <w:rFonts w:ascii="Arial" w:hAnsi="Arial" w:cs="Arial"/>
                <w:bCs/>
                <w:sz w:val="24"/>
                <w:szCs w:val="24"/>
              </w:rPr>
            </w:pPr>
          </w:p>
        </w:tc>
        <w:tc>
          <w:tcPr>
            <w:tcW w:w="611" w:type="dxa"/>
            <w:vAlign w:val="center"/>
          </w:tcPr>
          <w:p w:rsidR="0025424D" w:rsidRPr="0025424D" w:rsidRDefault="0025424D" w:rsidP="00533722">
            <w:pPr>
              <w:widowControl w:val="0"/>
              <w:jc w:val="center"/>
              <w:rPr>
                <w:rFonts w:ascii="Arial" w:hAnsi="Arial" w:cs="Arial"/>
                <w:bCs/>
                <w:sz w:val="24"/>
                <w:szCs w:val="24"/>
              </w:rPr>
            </w:pPr>
          </w:p>
        </w:tc>
      </w:tr>
      <w:tr w:rsidR="0025424D" w:rsidTr="00533722">
        <w:tc>
          <w:tcPr>
            <w:tcW w:w="7054" w:type="dxa"/>
            <w:vAlign w:val="center"/>
          </w:tcPr>
          <w:p w:rsidR="0025424D" w:rsidRPr="0025424D" w:rsidRDefault="0025424D" w:rsidP="00533722">
            <w:pPr>
              <w:widowControl w:val="0"/>
              <w:rPr>
                <w:rFonts w:ascii="Arial" w:hAnsi="Arial" w:cs="Arial"/>
                <w:bCs/>
                <w:sz w:val="24"/>
                <w:szCs w:val="24"/>
              </w:rPr>
            </w:pPr>
            <w:r w:rsidRPr="0025424D">
              <w:rPr>
                <w:rFonts w:ascii="Arial" w:hAnsi="Arial" w:cs="Arial"/>
                <w:bCs/>
                <w:sz w:val="24"/>
                <w:szCs w:val="24"/>
              </w:rPr>
              <w:t>Especialista em Hidrogeologia</w:t>
            </w:r>
          </w:p>
        </w:tc>
        <w:tc>
          <w:tcPr>
            <w:tcW w:w="709"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5"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3"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3" w:type="dxa"/>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6" w:type="dxa"/>
            <w:vAlign w:val="center"/>
          </w:tcPr>
          <w:p w:rsidR="0025424D" w:rsidRPr="0025424D" w:rsidRDefault="0025424D" w:rsidP="00533722">
            <w:pPr>
              <w:widowControl w:val="0"/>
              <w:jc w:val="center"/>
              <w:rPr>
                <w:rFonts w:ascii="Arial" w:hAnsi="Arial" w:cs="Arial"/>
                <w:bCs/>
                <w:sz w:val="24"/>
                <w:szCs w:val="24"/>
              </w:rPr>
            </w:pPr>
          </w:p>
        </w:tc>
        <w:tc>
          <w:tcPr>
            <w:tcW w:w="706" w:type="dxa"/>
            <w:vAlign w:val="center"/>
          </w:tcPr>
          <w:p w:rsidR="0025424D" w:rsidRPr="0025424D" w:rsidRDefault="0025424D" w:rsidP="00533722">
            <w:pPr>
              <w:widowControl w:val="0"/>
              <w:jc w:val="center"/>
              <w:rPr>
                <w:rFonts w:ascii="Arial" w:hAnsi="Arial" w:cs="Arial"/>
                <w:bCs/>
                <w:sz w:val="24"/>
                <w:szCs w:val="24"/>
              </w:rPr>
            </w:pPr>
          </w:p>
        </w:tc>
        <w:tc>
          <w:tcPr>
            <w:tcW w:w="611" w:type="dxa"/>
            <w:vAlign w:val="center"/>
          </w:tcPr>
          <w:p w:rsidR="0025424D" w:rsidRPr="0025424D" w:rsidRDefault="0025424D" w:rsidP="00533722">
            <w:pPr>
              <w:widowControl w:val="0"/>
              <w:jc w:val="center"/>
              <w:rPr>
                <w:rFonts w:ascii="Arial" w:hAnsi="Arial" w:cs="Arial"/>
                <w:bCs/>
                <w:sz w:val="24"/>
                <w:szCs w:val="24"/>
              </w:rPr>
            </w:pPr>
          </w:p>
        </w:tc>
      </w:tr>
      <w:tr w:rsidR="0025424D" w:rsidTr="00533722">
        <w:tc>
          <w:tcPr>
            <w:tcW w:w="7054" w:type="dxa"/>
            <w:vAlign w:val="center"/>
          </w:tcPr>
          <w:p w:rsidR="0025424D" w:rsidRPr="0025424D" w:rsidRDefault="0025424D" w:rsidP="00533722">
            <w:pPr>
              <w:widowControl w:val="0"/>
              <w:rPr>
                <w:rFonts w:ascii="Arial" w:hAnsi="Arial" w:cs="Arial"/>
                <w:bCs/>
                <w:sz w:val="24"/>
                <w:szCs w:val="24"/>
              </w:rPr>
            </w:pPr>
            <w:r w:rsidRPr="0025424D">
              <w:rPr>
                <w:rFonts w:ascii="Arial" w:hAnsi="Arial" w:cs="Arial"/>
                <w:bCs/>
                <w:sz w:val="24"/>
                <w:szCs w:val="24"/>
              </w:rPr>
              <w:t>Especialista em Hidrologia</w:t>
            </w:r>
          </w:p>
        </w:tc>
        <w:tc>
          <w:tcPr>
            <w:tcW w:w="709" w:type="dxa"/>
            <w:vAlign w:val="center"/>
          </w:tcPr>
          <w:p w:rsidR="0025424D" w:rsidRPr="0025424D" w:rsidRDefault="0025424D" w:rsidP="00533722">
            <w:pPr>
              <w:widowControl w:val="0"/>
              <w:jc w:val="center"/>
              <w:rPr>
                <w:rFonts w:ascii="Arial" w:hAnsi="Arial" w:cs="Arial"/>
                <w:bCs/>
                <w:sz w:val="24"/>
                <w:szCs w:val="24"/>
              </w:rPr>
            </w:pPr>
          </w:p>
        </w:tc>
        <w:tc>
          <w:tcPr>
            <w:tcW w:w="705" w:type="dxa"/>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3" w:type="dxa"/>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3"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6"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6"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611" w:type="dxa"/>
            <w:vAlign w:val="center"/>
          </w:tcPr>
          <w:p w:rsidR="0025424D" w:rsidRPr="0025424D" w:rsidRDefault="0025424D" w:rsidP="00533722">
            <w:pPr>
              <w:widowControl w:val="0"/>
              <w:jc w:val="center"/>
              <w:rPr>
                <w:rFonts w:ascii="Arial" w:hAnsi="Arial" w:cs="Arial"/>
                <w:bCs/>
                <w:sz w:val="24"/>
                <w:szCs w:val="24"/>
              </w:rPr>
            </w:pPr>
          </w:p>
        </w:tc>
      </w:tr>
      <w:tr w:rsidR="0025424D" w:rsidTr="00533722">
        <w:tc>
          <w:tcPr>
            <w:tcW w:w="7054" w:type="dxa"/>
            <w:vAlign w:val="center"/>
          </w:tcPr>
          <w:p w:rsidR="0025424D" w:rsidRPr="0025424D" w:rsidRDefault="0025424D" w:rsidP="00533722">
            <w:pPr>
              <w:widowControl w:val="0"/>
              <w:rPr>
                <w:rFonts w:ascii="Arial" w:hAnsi="Arial" w:cs="Arial"/>
                <w:bCs/>
                <w:sz w:val="24"/>
                <w:szCs w:val="24"/>
              </w:rPr>
            </w:pPr>
            <w:r w:rsidRPr="0025424D">
              <w:rPr>
                <w:rFonts w:ascii="Arial" w:hAnsi="Arial" w:cs="Arial"/>
                <w:bCs/>
                <w:sz w:val="24"/>
                <w:szCs w:val="24"/>
              </w:rPr>
              <w:t>Especialista em Geoprocessamento</w:t>
            </w:r>
          </w:p>
        </w:tc>
        <w:tc>
          <w:tcPr>
            <w:tcW w:w="709"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5"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3" w:type="dxa"/>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3" w:type="dxa"/>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6" w:type="dxa"/>
            <w:vAlign w:val="center"/>
          </w:tcPr>
          <w:p w:rsidR="0025424D" w:rsidRPr="0025424D" w:rsidRDefault="0025424D" w:rsidP="00533722">
            <w:pPr>
              <w:widowControl w:val="0"/>
              <w:jc w:val="center"/>
              <w:rPr>
                <w:rFonts w:ascii="Arial" w:hAnsi="Arial" w:cs="Arial"/>
                <w:bCs/>
                <w:sz w:val="24"/>
                <w:szCs w:val="24"/>
              </w:rPr>
            </w:pPr>
          </w:p>
        </w:tc>
        <w:tc>
          <w:tcPr>
            <w:tcW w:w="706"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611" w:type="dxa"/>
            <w:shd w:val="clear" w:color="auto" w:fill="808080"/>
            <w:vAlign w:val="center"/>
          </w:tcPr>
          <w:p w:rsidR="0025424D" w:rsidRPr="0025424D" w:rsidRDefault="0025424D" w:rsidP="00533722">
            <w:pPr>
              <w:widowControl w:val="0"/>
              <w:jc w:val="center"/>
              <w:rPr>
                <w:rFonts w:ascii="Arial" w:hAnsi="Arial" w:cs="Arial"/>
                <w:bCs/>
                <w:sz w:val="24"/>
                <w:szCs w:val="24"/>
              </w:rPr>
            </w:pPr>
          </w:p>
        </w:tc>
      </w:tr>
      <w:tr w:rsidR="0025424D" w:rsidTr="00533722">
        <w:tc>
          <w:tcPr>
            <w:tcW w:w="7054" w:type="dxa"/>
            <w:vAlign w:val="center"/>
          </w:tcPr>
          <w:p w:rsidR="0025424D" w:rsidRPr="0025424D" w:rsidRDefault="0025424D" w:rsidP="00533722">
            <w:pPr>
              <w:widowControl w:val="0"/>
              <w:jc w:val="center"/>
              <w:rPr>
                <w:rFonts w:ascii="Arial" w:hAnsi="Arial" w:cs="Arial"/>
                <w:b/>
                <w:bCs/>
                <w:sz w:val="24"/>
                <w:szCs w:val="24"/>
              </w:rPr>
            </w:pPr>
            <w:r w:rsidRPr="0025424D">
              <w:rPr>
                <w:rFonts w:ascii="Arial" w:hAnsi="Arial" w:cs="Arial"/>
                <w:b/>
                <w:bCs/>
                <w:sz w:val="24"/>
                <w:szCs w:val="24"/>
              </w:rPr>
              <w:t>EQUIPE DE APOIO</w:t>
            </w:r>
          </w:p>
        </w:tc>
        <w:tc>
          <w:tcPr>
            <w:tcW w:w="709" w:type="dxa"/>
            <w:vAlign w:val="center"/>
          </w:tcPr>
          <w:p w:rsidR="0025424D" w:rsidRPr="0025424D" w:rsidRDefault="0025424D" w:rsidP="00533722">
            <w:pPr>
              <w:widowControl w:val="0"/>
              <w:jc w:val="center"/>
              <w:rPr>
                <w:rFonts w:ascii="Arial" w:hAnsi="Arial" w:cs="Arial"/>
                <w:bCs/>
                <w:sz w:val="24"/>
                <w:szCs w:val="24"/>
              </w:rPr>
            </w:pPr>
          </w:p>
        </w:tc>
        <w:tc>
          <w:tcPr>
            <w:tcW w:w="705" w:type="dxa"/>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3" w:type="dxa"/>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3" w:type="dxa"/>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6" w:type="dxa"/>
            <w:vAlign w:val="center"/>
          </w:tcPr>
          <w:p w:rsidR="0025424D" w:rsidRPr="0025424D" w:rsidRDefault="0025424D" w:rsidP="00533722">
            <w:pPr>
              <w:widowControl w:val="0"/>
              <w:jc w:val="center"/>
              <w:rPr>
                <w:rFonts w:ascii="Arial" w:hAnsi="Arial" w:cs="Arial"/>
                <w:bCs/>
                <w:sz w:val="24"/>
                <w:szCs w:val="24"/>
              </w:rPr>
            </w:pPr>
          </w:p>
        </w:tc>
        <w:tc>
          <w:tcPr>
            <w:tcW w:w="706" w:type="dxa"/>
            <w:vAlign w:val="center"/>
          </w:tcPr>
          <w:p w:rsidR="0025424D" w:rsidRPr="0025424D" w:rsidRDefault="0025424D" w:rsidP="00533722">
            <w:pPr>
              <w:widowControl w:val="0"/>
              <w:jc w:val="center"/>
              <w:rPr>
                <w:rFonts w:ascii="Arial" w:hAnsi="Arial" w:cs="Arial"/>
                <w:bCs/>
                <w:sz w:val="24"/>
                <w:szCs w:val="24"/>
              </w:rPr>
            </w:pPr>
          </w:p>
        </w:tc>
        <w:tc>
          <w:tcPr>
            <w:tcW w:w="611" w:type="dxa"/>
            <w:vAlign w:val="center"/>
          </w:tcPr>
          <w:p w:rsidR="0025424D" w:rsidRPr="0025424D" w:rsidRDefault="0025424D" w:rsidP="00533722">
            <w:pPr>
              <w:widowControl w:val="0"/>
              <w:jc w:val="center"/>
              <w:rPr>
                <w:rFonts w:ascii="Arial" w:hAnsi="Arial" w:cs="Arial"/>
                <w:bCs/>
                <w:sz w:val="24"/>
                <w:szCs w:val="24"/>
              </w:rPr>
            </w:pPr>
          </w:p>
        </w:tc>
      </w:tr>
      <w:tr w:rsidR="0025424D" w:rsidTr="00533722">
        <w:tc>
          <w:tcPr>
            <w:tcW w:w="7054" w:type="dxa"/>
            <w:vAlign w:val="center"/>
          </w:tcPr>
          <w:p w:rsidR="0025424D" w:rsidRPr="0025424D" w:rsidRDefault="0025424D" w:rsidP="00533722">
            <w:pPr>
              <w:widowControl w:val="0"/>
              <w:rPr>
                <w:rFonts w:ascii="Arial" w:hAnsi="Arial" w:cs="Arial"/>
                <w:bCs/>
                <w:sz w:val="24"/>
                <w:szCs w:val="24"/>
              </w:rPr>
            </w:pPr>
            <w:r w:rsidRPr="0025424D">
              <w:rPr>
                <w:rFonts w:ascii="Arial" w:hAnsi="Arial" w:cs="Arial"/>
                <w:bCs/>
                <w:sz w:val="24"/>
                <w:szCs w:val="24"/>
              </w:rPr>
              <w:t>Geólogo especialista em geofísica</w:t>
            </w:r>
          </w:p>
        </w:tc>
        <w:tc>
          <w:tcPr>
            <w:tcW w:w="709" w:type="dxa"/>
            <w:vAlign w:val="center"/>
          </w:tcPr>
          <w:p w:rsidR="0025424D" w:rsidRPr="0025424D" w:rsidRDefault="0025424D" w:rsidP="00533722">
            <w:pPr>
              <w:widowControl w:val="0"/>
              <w:jc w:val="center"/>
              <w:rPr>
                <w:rFonts w:ascii="Arial" w:hAnsi="Arial" w:cs="Arial"/>
                <w:bCs/>
                <w:sz w:val="24"/>
                <w:szCs w:val="24"/>
              </w:rPr>
            </w:pPr>
          </w:p>
        </w:tc>
        <w:tc>
          <w:tcPr>
            <w:tcW w:w="705" w:type="dxa"/>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3"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9C6FB4" w:rsidP="00533722">
            <w:pPr>
              <w:widowControl w:val="0"/>
              <w:jc w:val="center"/>
              <w:rPr>
                <w:rFonts w:ascii="Arial" w:hAnsi="Arial" w:cs="Arial"/>
                <w:bCs/>
                <w:sz w:val="24"/>
                <w:szCs w:val="24"/>
              </w:rPr>
            </w:pPr>
            <w:r>
              <w:rPr>
                <w:rFonts w:ascii="Arial" w:hAnsi="Arial" w:cs="Arial"/>
                <w:bCs/>
                <w:noProof/>
                <w:sz w:val="24"/>
                <w:szCs w:val="24"/>
                <w:lang w:eastAsia="pt-BR"/>
              </w:rPr>
              <mc:AlternateContent>
                <mc:Choice Requires="wps">
                  <w:drawing>
                    <wp:anchor distT="0" distB="0" distL="114300" distR="114300" simplePos="0" relativeHeight="251657728" behindDoc="0" locked="0" layoutInCell="1" allowOverlap="1">
                      <wp:simplePos x="0" y="0"/>
                      <wp:positionH relativeFrom="column">
                        <wp:posOffset>-68580</wp:posOffset>
                      </wp:positionH>
                      <wp:positionV relativeFrom="paragraph">
                        <wp:posOffset>14605</wp:posOffset>
                      </wp:positionV>
                      <wp:extent cx="466725" cy="183515"/>
                      <wp:effectExtent l="7620" t="14605" r="30480" b="11430"/>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83515"/>
                              </a:xfrm>
                              <a:prstGeom prst="rtTriangle">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FBDBF" id="_x0000_t6" coordsize="21600,21600" o:spt="6" path="m,l,21600r21600,xe">
                      <v:stroke joinstyle="miter"/>
                      <v:path gradientshapeok="t" o:connecttype="custom" o:connectlocs="0,0;0,10800;0,21600;10800,21600;21600,21600;10800,10800" textboxrect="1800,12600,12600,19800"/>
                    </v:shapetype>
                    <v:shape id="AutoShape 10" o:spid="_x0000_s1026" type="#_x0000_t6" style="position:absolute;margin-left:-5.4pt;margin-top:1.15pt;width:36.75pt;height:1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" fillcolor="#7f7f7f"/>
                  </w:pict>
                </mc:Fallback>
              </mc:AlternateContent>
            </w: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3" w:type="dxa"/>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6" w:type="dxa"/>
            <w:vAlign w:val="center"/>
          </w:tcPr>
          <w:p w:rsidR="0025424D" w:rsidRPr="0025424D" w:rsidRDefault="0025424D" w:rsidP="00533722">
            <w:pPr>
              <w:widowControl w:val="0"/>
              <w:jc w:val="center"/>
              <w:rPr>
                <w:rFonts w:ascii="Arial" w:hAnsi="Arial" w:cs="Arial"/>
                <w:bCs/>
                <w:sz w:val="24"/>
                <w:szCs w:val="24"/>
              </w:rPr>
            </w:pPr>
          </w:p>
        </w:tc>
        <w:tc>
          <w:tcPr>
            <w:tcW w:w="706" w:type="dxa"/>
            <w:vAlign w:val="center"/>
          </w:tcPr>
          <w:p w:rsidR="0025424D" w:rsidRPr="0025424D" w:rsidRDefault="0025424D" w:rsidP="00533722">
            <w:pPr>
              <w:widowControl w:val="0"/>
              <w:jc w:val="center"/>
              <w:rPr>
                <w:rFonts w:ascii="Arial" w:hAnsi="Arial" w:cs="Arial"/>
                <w:bCs/>
                <w:sz w:val="24"/>
                <w:szCs w:val="24"/>
              </w:rPr>
            </w:pPr>
          </w:p>
        </w:tc>
        <w:tc>
          <w:tcPr>
            <w:tcW w:w="611" w:type="dxa"/>
            <w:vAlign w:val="center"/>
          </w:tcPr>
          <w:p w:rsidR="0025424D" w:rsidRPr="0025424D" w:rsidRDefault="0025424D" w:rsidP="00533722">
            <w:pPr>
              <w:widowControl w:val="0"/>
              <w:jc w:val="center"/>
              <w:rPr>
                <w:rFonts w:ascii="Arial" w:hAnsi="Arial" w:cs="Arial"/>
                <w:bCs/>
                <w:sz w:val="24"/>
                <w:szCs w:val="24"/>
              </w:rPr>
            </w:pPr>
          </w:p>
        </w:tc>
      </w:tr>
      <w:tr w:rsidR="0025424D" w:rsidTr="00533722">
        <w:tc>
          <w:tcPr>
            <w:tcW w:w="7054" w:type="dxa"/>
            <w:vAlign w:val="center"/>
          </w:tcPr>
          <w:p w:rsidR="0025424D" w:rsidRPr="0025424D" w:rsidRDefault="0025424D" w:rsidP="00533722">
            <w:pPr>
              <w:widowControl w:val="0"/>
              <w:rPr>
                <w:rFonts w:ascii="Arial" w:hAnsi="Arial" w:cs="Arial"/>
                <w:bCs/>
                <w:sz w:val="24"/>
                <w:szCs w:val="24"/>
              </w:rPr>
            </w:pPr>
            <w:r w:rsidRPr="0025424D">
              <w:rPr>
                <w:rFonts w:ascii="Arial" w:hAnsi="Arial" w:cs="Arial"/>
                <w:bCs/>
                <w:sz w:val="24"/>
                <w:szCs w:val="24"/>
              </w:rPr>
              <w:t>Engenheiro especialista em risco e qualidade de água</w:t>
            </w:r>
          </w:p>
        </w:tc>
        <w:tc>
          <w:tcPr>
            <w:tcW w:w="709" w:type="dxa"/>
            <w:vAlign w:val="center"/>
          </w:tcPr>
          <w:p w:rsidR="0025424D" w:rsidRPr="0025424D" w:rsidRDefault="0025424D" w:rsidP="00533722">
            <w:pPr>
              <w:widowControl w:val="0"/>
              <w:jc w:val="center"/>
              <w:rPr>
                <w:rFonts w:ascii="Arial" w:hAnsi="Arial" w:cs="Arial"/>
                <w:bCs/>
                <w:sz w:val="24"/>
                <w:szCs w:val="24"/>
              </w:rPr>
            </w:pPr>
          </w:p>
        </w:tc>
        <w:tc>
          <w:tcPr>
            <w:tcW w:w="705" w:type="dxa"/>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3" w:type="dxa"/>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9C6FB4" w:rsidP="00533722">
            <w:pPr>
              <w:widowControl w:val="0"/>
              <w:jc w:val="center"/>
              <w:rPr>
                <w:rFonts w:ascii="Arial" w:hAnsi="Arial" w:cs="Arial"/>
                <w:bCs/>
                <w:sz w:val="24"/>
                <w:szCs w:val="24"/>
              </w:rPr>
            </w:pPr>
            <w:r>
              <w:rPr>
                <w:rFonts w:ascii="Arial" w:hAnsi="Arial" w:cs="Arial"/>
                <w:bCs/>
                <w:noProof/>
                <w:sz w:val="24"/>
                <w:szCs w:val="24"/>
                <w:lang w:eastAsia="pt-BR"/>
              </w:rPr>
              <mc:AlternateContent>
                <mc:Choice Requires="wps">
                  <w:drawing>
                    <wp:anchor distT="0" distB="0" distL="114300" distR="114300" simplePos="0" relativeHeight="251659776" behindDoc="0" locked="0" layoutInCell="1" allowOverlap="1">
                      <wp:simplePos x="0" y="0"/>
                      <wp:positionH relativeFrom="column">
                        <wp:posOffset>367665</wp:posOffset>
                      </wp:positionH>
                      <wp:positionV relativeFrom="paragraph">
                        <wp:posOffset>15240</wp:posOffset>
                      </wp:positionV>
                      <wp:extent cx="466725" cy="183515"/>
                      <wp:effectExtent l="5715" t="15240" r="32385" b="10795"/>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83515"/>
                              </a:xfrm>
                              <a:prstGeom prst="rtTriangle">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E3E6C" id="AutoShape 12" o:spid="_x0000_s1026" type="#_x0000_t6" style="position:absolute;margin-left:28.95pt;margin-top:1.2pt;width:36.75pt;height:14.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" fillcolor="#7f7f7f"/>
                  </w:pict>
                </mc:Fallback>
              </mc:AlternateContent>
            </w:r>
          </w:p>
        </w:tc>
        <w:tc>
          <w:tcPr>
            <w:tcW w:w="703" w:type="dxa"/>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6" w:type="dxa"/>
            <w:vAlign w:val="center"/>
          </w:tcPr>
          <w:p w:rsidR="0025424D" w:rsidRPr="0025424D" w:rsidRDefault="0025424D" w:rsidP="00533722">
            <w:pPr>
              <w:widowControl w:val="0"/>
              <w:jc w:val="center"/>
              <w:rPr>
                <w:rFonts w:ascii="Arial" w:hAnsi="Arial" w:cs="Arial"/>
                <w:bCs/>
                <w:sz w:val="24"/>
                <w:szCs w:val="24"/>
              </w:rPr>
            </w:pPr>
          </w:p>
        </w:tc>
        <w:tc>
          <w:tcPr>
            <w:tcW w:w="706" w:type="dxa"/>
            <w:vAlign w:val="center"/>
          </w:tcPr>
          <w:p w:rsidR="0025424D" w:rsidRPr="0025424D" w:rsidRDefault="0025424D" w:rsidP="00533722">
            <w:pPr>
              <w:widowControl w:val="0"/>
              <w:jc w:val="center"/>
              <w:rPr>
                <w:rFonts w:ascii="Arial" w:hAnsi="Arial" w:cs="Arial"/>
                <w:bCs/>
                <w:sz w:val="24"/>
                <w:szCs w:val="24"/>
              </w:rPr>
            </w:pPr>
          </w:p>
        </w:tc>
        <w:tc>
          <w:tcPr>
            <w:tcW w:w="611" w:type="dxa"/>
            <w:vAlign w:val="center"/>
          </w:tcPr>
          <w:p w:rsidR="0025424D" w:rsidRPr="0025424D" w:rsidRDefault="0025424D" w:rsidP="00533722">
            <w:pPr>
              <w:widowControl w:val="0"/>
              <w:jc w:val="center"/>
              <w:rPr>
                <w:rFonts w:ascii="Arial" w:hAnsi="Arial" w:cs="Arial"/>
                <w:bCs/>
                <w:sz w:val="24"/>
                <w:szCs w:val="24"/>
              </w:rPr>
            </w:pPr>
          </w:p>
        </w:tc>
      </w:tr>
      <w:tr w:rsidR="0025424D" w:rsidTr="00533722">
        <w:tc>
          <w:tcPr>
            <w:tcW w:w="7054" w:type="dxa"/>
            <w:vAlign w:val="center"/>
          </w:tcPr>
          <w:p w:rsidR="0025424D" w:rsidRPr="0025424D" w:rsidRDefault="0025424D" w:rsidP="00533722">
            <w:pPr>
              <w:widowControl w:val="0"/>
              <w:rPr>
                <w:rFonts w:ascii="Arial" w:hAnsi="Arial" w:cs="Arial"/>
                <w:bCs/>
                <w:sz w:val="24"/>
                <w:szCs w:val="24"/>
              </w:rPr>
            </w:pPr>
            <w:r w:rsidRPr="0025424D">
              <w:rPr>
                <w:rFonts w:ascii="Arial" w:hAnsi="Arial" w:cs="Arial"/>
                <w:bCs/>
                <w:sz w:val="24"/>
                <w:szCs w:val="24"/>
              </w:rPr>
              <w:t>Técnicos de campo para cadastramento de poços</w:t>
            </w:r>
          </w:p>
        </w:tc>
        <w:tc>
          <w:tcPr>
            <w:tcW w:w="709" w:type="dxa"/>
            <w:vAlign w:val="center"/>
          </w:tcPr>
          <w:p w:rsidR="0025424D" w:rsidRPr="0025424D" w:rsidRDefault="0025424D" w:rsidP="00533722">
            <w:pPr>
              <w:widowControl w:val="0"/>
              <w:jc w:val="center"/>
              <w:rPr>
                <w:rFonts w:ascii="Arial" w:hAnsi="Arial" w:cs="Arial"/>
                <w:bCs/>
                <w:sz w:val="24"/>
                <w:szCs w:val="24"/>
              </w:rPr>
            </w:pPr>
          </w:p>
        </w:tc>
        <w:tc>
          <w:tcPr>
            <w:tcW w:w="705" w:type="dxa"/>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3" w:type="dxa"/>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4" w:type="dxa"/>
            <w:vAlign w:val="center"/>
          </w:tcPr>
          <w:p w:rsidR="0025424D" w:rsidRPr="0025424D" w:rsidRDefault="0025424D" w:rsidP="00533722">
            <w:pPr>
              <w:widowControl w:val="0"/>
              <w:jc w:val="center"/>
              <w:rPr>
                <w:rFonts w:ascii="Arial" w:hAnsi="Arial" w:cs="Arial"/>
                <w:bCs/>
                <w:sz w:val="24"/>
                <w:szCs w:val="24"/>
              </w:rPr>
            </w:pPr>
          </w:p>
        </w:tc>
        <w:tc>
          <w:tcPr>
            <w:tcW w:w="703"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4" w:type="dxa"/>
            <w:shd w:val="clear" w:color="auto" w:fill="808080"/>
            <w:vAlign w:val="center"/>
          </w:tcPr>
          <w:p w:rsidR="0025424D" w:rsidRPr="0025424D" w:rsidRDefault="0025424D" w:rsidP="00533722">
            <w:pPr>
              <w:widowControl w:val="0"/>
              <w:jc w:val="center"/>
              <w:rPr>
                <w:rFonts w:ascii="Arial" w:hAnsi="Arial" w:cs="Arial"/>
                <w:bCs/>
                <w:sz w:val="24"/>
                <w:szCs w:val="24"/>
              </w:rPr>
            </w:pPr>
          </w:p>
        </w:tc>
        <w:tc>
          <w:tcPr>
            <w:tcW w:w="706" w:type="dxa"/>
            <w:vAlign w:val="center"/>
          </w:tcPr>
          <w:p w:rsidR="0025424D" w:rsidRPr="0025424D" w:rsidRDefault="009C6FB4" w:rsidP="00533722">
            <w:pPr>
              <w:widowControl w:val="0"/>
              <w:jc w:val="center"/>
              <w:rPr>
                <w:rFonts w:ascii="Arial" w:hAnsi="Arial" w:cs="Arial"/>
                <w:bCs/>
                <w:sz w:val="24"/>
                <w:szCs w:val="24"/>
              </w:rPr>
            </w:pPr>
            <w:r>
              <w:rPr>
                <w:rFonts w:ascii="Arial" w:hAnsi="Arial" w:cs="Arial"/>
                <w:bCs/>
                <w:noProof/>
                <w:sz w:val="24"/>
                <w:szCs w:val="24"/>
                <w:lang w:eastAsia="pt-BR"/>
              </w:rPr>
              <mc:AlternateContent>
                <mc:Choice Requires="wps">
                  <w:drawing>
                    <wp:anchor distT="0" distB="0" distL="114300" distR="114300" simplePos="0" relativeHeight="251658752" behindDoc="0" locked="0" layoutInCell="1" allowOverlap="1">
                      <wp:simplePos x="0" y="0"/>
                      <wp:positionH relativeFrom="column">
                        <wp:posOffset>-66675</wp:posOffset>
                      </wp:positionH>
                      <wp:positionV relativeFrom="paragraph">
                        <wp:posOffset>7620</wp:posOffset>
                      </wp:positionV>
                      <wp:extent cx="466725" cy="183515"/>
                      <wp:effectExtent l="9525" t="17145" r="38100" b="889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83515"/>
                              </a:xfrm>
                              <a:prstGeom prst="rtTriangle">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EFC57" id="AutoShape 11" o:spid="_x0000_s1026" type="#_x0000_t6" style="position:absolute;margin-left:-5.25pt;margin-top:.6pt;width:36.75pt;height:1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" fillcolor="#7f7f7f"/>
                  </w:pict>
                </mc:Fallback>
              </mc:AlternateContent>
            </w:r>
          </w:p>
        </w:tc>
        <w:tc>
          <w:tcPr>
            <w:tcW w:w="706" w:type="dxa"/>
            <w:vAlign w:val="center"/>
          </w:tcPr>
          <w:p w:rsidR="0025424D" w:rsidRPr="0025424D" w:rsidRDefault="0025424D" w:rsidP="00533722">
            <w:pPr>
              <w:widowControl w:val="0"/>
              <w:jc w:val="center"/>
              <w:rPr>
                <w:rFonts w:ascii="Arial" w:hAnsi="Arial" w:cs="Arial"/>
                <w:bCs/>
                <w:sz w:val="24"/>
                <w:szCs w:val="24"/>
              </w:rPr>
            </w:pPr>
          </w:p>
        </w:tc>
        <w:tc>
          <w:tcPr>
            <w:tcW w:w="611" w:type="dxa"/>
            <w:vAlign w:val="center"/>
          </w:tcPr>
          <w:p w:rsidR="0025424D" w:rsidRPr="0025424D" w:rsidRDefault="0025424D" w:rsidP="00533722">
            <w:pPr>
              <w:widowControl w:val="0"/>
              <w:jc w:val="center"/>
              <w:rPr>
                <w:rFonts w:ascii="Arial" w:hAnsi="Arial" w:cs="Arial"/>
                <w:bCs/>
                <w:sz w:val="24"/>
                <w:szCs w:val="24"/>
              </w:rPr>
            </w:pPr>
          </w:p>
        </w:tc>
      </w:tr>
    </w:tbl>
    <w:p w:rsidR="0025424D" w:rsidRPr="003C5C7D" w:rsidRDefault="0025424D" w:rsidP="0025424D">
      <w:pPr>
        <w:widowControl w:val="0"/>
        <w:rPr>
          <w:rFonts w:ascii="Arial" w:hAnsi="Arial" w:cs="Arial"/>
          <w:bCs/>
          <w:sz w:val="24"/>
          <w:szCs w:val="24"/>
        </w:rPr>
      </w:pPr>
    </w:p>
    <w:p w:rsidR="0025424D" w:rsidRDefault="0025424D" w:rsidP="0025424D">
      <w:pPr>
        <w:widowControl w:val="0"/>
        <w:spacing w:after="200" w:line="360" w:lineRule="auto"/>
        <w:jc w:val="both"/>
      </w:pPr>
    </w:p>
    <w:p w:rsidR="00200528" w:rsidRDefault="00200528" w:rsidP="0025424D">
      <w:pPr>
        <w:widowControl w:val="0"/>
        <w:spacing w:after="200" w:line="360" w:lineRule="auto"/>
        <w:jc w:val="both"/>
      </w:pPr>
    </w:p>
    <w:p w:rsidR="00200528" w:rsidRDefault="00200528" w:rsidP="0025424D">
      <w:pPr>
        <w:widowControl w:val="0"/>
        <w:spacing w:after="200" w:line="360" w:lineRule="auto"/>
        <w:jc w:val="both"/>
      </w:pPr>
    </w:p>
    <w:p w:rsidR="00200528" w:rsidRDefault="00200528" w:rsidP="0025424D">
      <w:pPr>
        <w:widowControl w:val="0"/>
        <w:spacing w:after="200" w:line="360" w:lineRule="auto"/>
        <w:jc w:val="both"/>
      </w:pPr>
    </w:p>
    <w:p w:rsidR="00200528" w:rsidRDefault="00200528" w:rsidP="0025424D">
      <w:pPr>
        <w:widowControl w:val="0"/>
        <w:spacing w:after="200" w:line="360" w:lineRule="auto"/>
        <w:jc w:val="both"/>
        <w:sectPr w:rsidR="00200528" w:rsidSect="0025424D">
          <w:pgSz w:w="16840" w:h="11907" w:orient="landscape" w:code="9"/>
          <w:pgMar w:top="1701" w:right="1701" w:bottom="1134" w:left="1134" w:header="709" w:footer="709" w:gutter="0"/>
          <w:cols w:space="708"/>
          <w:docGrid w:linePitch="360"/>
        </w:sectPr>
      </w:pPr>
    </w:p>
    <w:p w:rsidR="00200528" w:rsidRPr="0025424D" w:rsidRDefault="00200528" w:rsidP="00200528">
      <w:pPr>
        <w:keepNext/>
        <w:spacing w:after="200" w:line="276" w:lineRule="auto"/>
        <w:jc w:val="both"/>
        <w:rPr>
          <w:rFonts w:ascii="Arial" w:eastAsia="Calibri" w:hAnsi="Arial" w:cs="Arial"/>
          <w:b/>
          <w:sz w:val="24"/>
          <w:szCs w:val="24"/>
          <w:lang w:eastAsia="en-US"/>
        </w:rPr>
      </w:pPr>
      <w:r w:rsidRPr="0025424D">
        <w:rPr>
          <w:rFonts w:ascii="Arial" w:eastAsia="Calibri" w:hAnsi="Arial" w:cs="Arial"/>
          <w:b/>
          <w:sz w:val="24"/>
          <w:szCs w:val="24"/>
          <w:lang w:eastAsia="en-US"/>
        </w:rPr>
        <w:lastRenderedPageBreak/>
        <w:t>1</w:t>
      </w:r>
      <w:r>
        <w:rPr>
          <w:rFonts w:ascii="Arial" w:eastAsia="Calibri" w:hAnsi="Arial" w:cs="Arial"/>
          <w:b/>
          <w:sz w:val="24"/>
          <w:szCs w:val="24"/>
          <w:lang w:eastAsia="en-US"/>
        </w:rPr>
        <w:t>4</w:t>
      </w:r>
      <w:r w:rsidRPr="0025424D">
        <w:rPr>
          <w:rFonts w:ascii="Arial" w:eastAsia="Calibri" w:hAnsi="Arial" w:cs="Arial"/>
          <w:b/>
          <w:sz w:val="24"/>
          <w:szCs w:val="24"/>
          <w:lang w:eastAsia="en-US"/>
        </w:rPr>
        <w:t>. ELEMENTOS DISPONÍVEIS</w:t>
      </w:r>
    </w:p>
    <w:p w:rsidR="00200528" w:rsidRPr="0025424D" w:rsidRDefault="00200528" w:rsidP="00200528">
      <w:pPr>
        <w:spacing w:before="100" w:after="100" w:line="276" w:lineRule="auto"/>
        <w:ind w:firstLine="700"/>
        <w:jc w:val="both"/>
        <w:rPr>
          <w:rFonts w:ascii="Arial" w:eastAsia="Arial Unicode MS" w:hAnsi="Arial" w:cs="Arial"/>
          <w:sz w:val="24"/>
          <w:szCs w:val="24"/>
          <w:lang w:eastAsia="en-US"/>
        </w:rPr>
      </w:pPr>
      <w:r w:rsidRPr="0025424D">
        <w:rPr>
          <w:rFonts w:ascii="Arial" w:eastAsia="Arial Unicode MS" w:hAnsi="Arial" w:cs="Arial"/>
          <w:sz w:val="24"/>
          <w:szCs w:val="24"/>
          <w:lang w:eastAsia="en-US"/>
        </w:rPr>
        <w:t>Estarão disponíveis para consulta e/ou utilização por parte das empresas os seguintes documentos e informações:</w:t>
      </w:r>
    </w:p>
    <w:p w:rsidR="00200528" w:rsidRPr="0025424D" w:rsidRDefault="00200528" w:rsidP="00200528">
      <w:pPr>
        <w:spacing w:before="120" w:after="200" w:line="276" w:lineRule="auto"/>
        <w:ind w:firstLine="709"/>
        <w:jc w:val="both"/>
        <w:rPr>
          <w:rFonts w:ascii="Arial" w:eastAsia="Calibri" w:hAnsi="Arial" w:cs="Arial"/>
          <w:sz w:val="24"/>
          <w:szCs w:val="24"/>
          <w:lang w:eastAsia="en-US"/>
        </w:rPr>
      </w:pPr>
      <w:r w:rsidRPr="0025424D">
        <w:rPr>
          <w:rFonts w:ascii="Arial" w:eastAsia="Calibri" w:hAnsi="Arial" w:cs="Arial"/>
          <w:sz w:val="24"/>
          <w:szCs w:val="24"/>
          <w:lang w:eastAsia="en-US"/>
        </w:rPr>
        <w:t xml:space="preserve">TOCANTINS. Secretaria do Meio Ambiente e Desenvolvimento Sustentável. </w:t>
      </w:r>
      <w:r w:rsidRPr="0025424D">
        <w:rPr>
          <w:rFonts w:ascii="Arial" w:eastAsia="Calibri" w:hAnsi="Arial" w:cs="Arial"/>
          <w:b/>
          <w:sz w:val="24"/>
          <w:szCs w:val="24"/>
          <w:lang w:eastAsia="en-US"/>
        </w:rPr>
        <w:t>Mapeamento hidrogeológico da região sudeste do Estado do Tocantins</w:t>
      </w:r>
      <w:r w:rsidRPr="0025424D">
        <w:rPr>
          <w:rFonts w:ascii="Arial" w:eastAsia="Calibri" w:hAnsi="Arial" w:cs="Arial"/>
          <w:sz w:val="24"/>
          <w:szCs w:val="24"/>
          <w:lang w:eastAsia="en-US"/>
        </w:rPr>
        <w:t>. Palmas, SEMADES. 2011.</w:t>
      </w:r>
    </w:p>
    <w:p w:rsidR="00200528" w:rsidRPr="0025424D" w:rsidRDefault="00200528" w:rsidP="00200528">
      <w:pPr>
        <w:spacing w:before="120" w:after="200" w:line="276" w:lineRule="auto"/>
        <w:ind w:firstLine="709"/>
        <w:jc w:val="both"/>
        <w:rPr>
          <w:rFonts w:ascii="Arial" w:eastAsia="Calibri" w:hAnsi="Arial" w:cs="Arial"/>
          <w:sz w:val="24"/>
          <w:szCs w:val="24"/>
          <w:lang w:eastAsia="en-US"/>
        </w:rPr>
      </w:pPr>
      <w:r w:rsidRPr="0025424D">
        <w:rPr>
          <w:rFonts w:ascii="Arial" w:eastAsia="Calibri" w:hAnsi="Arial" w:cs="Arial"/>
          <w:sz w:val="24"/>
          <w:szCs w:val="24"/>
          <w:lang w:eastAsia="en-US"/>
        </w:rPr>
        <w:t xml:space="preserve">TOCANTINS. Secretaria do Meio Ambiente e Desenvolvimento Sustentável. </w:t>
      </w:r>
      <w:r w:rsidRPr="0025424D">
        <w:rPr>
          <w:rFonts w:ascii="Arial" w:eastAsia="Calibri" w:hAnsi="Arial" w:cs="Arial"/>
          <w:b/>
          <w:sz w:val="24"/>
          <w:szCs w:val="24"/>
          <w:lang w:eastAsia="en-US"/>
        </w:rPr>
        <w:t>Plano Estadual de Recursos Hídricos</w:t>
      </w:r>
      <w:r w:rsidRPr="0025424D">
        <w:rPr>
          <w:rFonts w:ascii="Arial" w:eastAsia="Calibri" w:hAnsi="Arial" w:cs="Arial"/>
          <w:sz w:val="24"/>
          <w:szCs w:val="24"/>
          <w:lang w:eastAsia="en-US"/>
        </w:rPr>
        <w:t>. Palmas, SEMADES. 2011.</w:t>
      </w:r>
    </w:p>
    <w:p w:rsidR="00200528" w:rsidRPr="0025424D" w:rsidRDefault="00200528" w:rsidP="00200528">
      <w:pPr>
        <w:spacing w:before="120" w:after="200" w:line="276" w:lineRule="auto"/>
        <w:ind w:firstLine="709"/>
        <w:jc w:val="both"/>
        <w:rPr>
          <w:rFonts w:ascii="Arial" w:eastAsia="Calibri" w:hAnsi="Arial" w:cs="Arial"/>
          <w:sz w:val="24"/>
          <w:szCs w:val="24"/>
          <w:lang w:eastAsia="en-US"/>
        </w:rPr>
      </w:pPr>
      <w:r w:rsidRPr="0025424D">
        <w:rPr>
          <w:rFonts w:ascii="Arial" w:eastAsia="Calibri" w:hAnsi="Arial" w:cs="Arial"/>
          <w:sz w:val="24"/>
          <w:szCs w:val="24"/>
          <w:lang w:eastAsia="en-US"/>
        </w:rPr>
        <w:t xml:space="preserve">TOCANTINS. Instituto Natureza do Tocantins. </w:t>
      </w:r>
      <w:r w:rsidRPr="0025424D">
        <w:rPr>
          <w:rFonts w:ascii="Arial" w:eastAsia="Calibri" w:hAnsi="Arial" w:cs="Arial"/>
          <w:b/>
          <w:sz w:val="24"/>
          <w:szCs w:val="24"/>
          <w:lang w:eastAsia="en-US"/>
        </w:rPr>
        <w:t>Base cartográfica digital contínua do Estado do Tocantins</w:t>
      </w:r>
      <w:r w:rsidRPr="0025424D">
        <w:rPr>
          <w:rFonts w:ascii="Arial" w:eastAsia="Calibri" w:hAnsi="Arial" w:cs="Arial"/>
          <w:sz w:val="24"/>
          <w:szCs w:val="24"/>
          <w:lang w:eastAsia="en-US"/>
        </w:rPr>
        <w:t>. Palmas, Naturatins. s/d.</w:t>
      </w:r>
    </w:p>
    <w:p w:rsidR="00200528" w:rsidRPr="0025424D" w:rsidRDefault="00200528" w:rsidP="00200528">
      <w:pPr>
        <w:spacing w:before="120" w:after="100" w:line="276" w:lineRule="auto"/>
        <w:ind w:firstLine="709"/>
        <w:jc w:val="both"/>
        <w:rPr>
          <w:rFonts w:ascii="Arial" w:eastAsia="Batang" w:hAnsi="Arial" w:cs="Arial"/>
          <w:sz w:val="24"/>
          <w:szCs w:val="24"/>
          <w:lang w:eastAsia="en-US"/>
        </w:rPr>
      </w:pPr>
      <w:r w:rsidRPr="0025424D">
        <w:rPr>
          <w:rFonts w:ascii="Arial" w:eastAsia="Calibri" w:hAnsi="Arial" w:cs="Arial"/>
          <w:sz w:val="24"/>
          <w:szCs w:val="24"/>
          <w:lang w:eastAsia="en-US"/>
        </w:rPr>
        <w:t>TOCANTINS</w:t>
      </w:r>
      <w:r w:rsidRPr="0025424D">
        <w:rPr>
          <w:rFonts w:ascii="Arial" w:eastAsia="Batang" w:hAnsi="Arial" w:cs="Arial"/>
          <w:sz w:val="24"/>
          <w:szCs w:val="24"/>
          <w:lang w:eastAsia="en-US"/>
        </w:rPr>
        <w:t xml:space="preserve">. SECRETARIA DO PLANEJAMENTO E MEIO AMBIENTE. Diretoria de Pesquisas e Informações (Seplan/DPI). </w:t>
      </w:r>
      <w:r w:rsidRPr="0025424D">
        <w:rPr>
          <w:rFonts w:ascii="Arial" w:eastAsia="Batang" w:hAnsi="Arial" w:cs="Arial"/>
          <w:b/>
          <w:sz w:val="24"/>
          <w:szCs w:val="24"/>
          <w:lang w:eastAsia="en-US"/>
        </w:rPr>
        <w:t>Anuário Estatístico do Estado do Tocantins</w:t>
      </w:r>
      <w:r w:rsidRPr="0025424D">
        <w:rPr>
          <w:rFonts w:ascii="Arial" w:eastAsia="Batang" w:hAnsi="Arial" w:cs="Arial"/>
          <w:sz w:val="24"/>
          <w:szCs w:val="24"/>
          <w:lang w:eastAsia="en-US"/>
        </w:rPr>
        <w:t>. Palmas, Seplan, 2004.</w:t>
      </w:r>
    </w:p>
    <w:p w:rsidR="00200528" w:rsidRPr="0025424D" w:rsidRDefault="00200528" w:rsidP="00200528">
      <w:pPr>
        <w:spacing w:before="120" w:after="100" w:line="276" w:lineRule="auto"/>
        <w:ind w:firstLine="709"/>
        <w:jc w:val="both"/>
        <w:rPr>
          <w:rFonts w:ascii="Arial" w:eastAsia="Batang" w:hAnsi="Arial" w:cs="Arial"/>
          <w:sz w:val="24"/>
          <w:szCs w:val="24"/>
          <w:lang w:eastAsia="en-US"/>
        </w:rPr>
      </w:pPr>
      <w:r w:rsidRPr="0025424D">
        <w:rPr>
          <w:rFonts w:ascii="Arial" w:eastAsia="Calibri" w:hAnsi="Arial" w:cs="Arial"/>
          <w:sz w:val="24"/>
          <w:szCs w:val="24"/>
          <w:lang w:eastAsia="en-US"/>
        </w:rPr>
        <w:t>TOCANTINS.</w:t>
      </w:r>
      <w:r w:rsidRPr="0025424D">
        <w:rPr>
          <w:rFonts w:ascii="Arial" w:eastAsia="Arial Unicode MS" w:hAnsi="Arial" w:cs="Arial"/>
          <w:sz w:val="24"/>
          <w:szCs w:val="24"/>
          <w:lang w:eastAsia="en-US"/>
        </w:rPr>
        <w:t>SECRETARIA DO PLANEJAMENTO E MEIO AMBIENTE. Diretoria de Zoneamento Ecológico-Econômico (Seplan/DZE).</w:t>
      </w:r>
      <w:r w:rsidRPr="0025424D">
        <w:rPr>
          <w:rFonts w:ascii="Arial" w:eastAsia="Arial Unicode MS" w:hAnsi="Arial" w:cs="Arial"/>
          <w:b/>
          <w:sz w:val="24"/>
          <w:szCs w:val="24"/>
          <w:lang w:eastAsia="en-US"/>
        </w:rPr>
        <w:t>Atlas do Tocantins: subsídios ao planejamento da gestão territorial</w:t>
      </w:r>
      <w:r w:rsidRPr="0025424D">
        <w:rPr>
          <w:rFonts w:ascii="Arial" w:eastAsia="Batang" w:hAnsi="Arial" w:cs="Arial"/>
          <w:sz w:val="24"/>
          <w:szCs w:val="24"/>
          <w:lang w:eastAsia="en-US"/>
        </w:rPr>
        <w:t xml:space="preserve">. Palmas, Seplan, 2005. </w:t>
      </w:r>
    </w:p>
    <w:p w:rsidR="00200528" w:rsidRPr="0025424D" w:rsidRDefault="00200528" w:rsidP="00200528">
      <w:pPr>
        <w:spacing w:before="120" w:after="100" w:line="276" w:lineRule="auto"/>
        <w:ind w:firstLine="709"/>
        <w:jc w:val="both"/>
        <w:rPr>
          <w:rFonts w:ascii="Arial" w:eastAsia="Arial Unicode MS" w:hAnsi="Arial" w:cs="Arial"/>
          <w:sz w:val="24"/>
          <w:szCs w:val="24"/>
          <w:lang w:eastAsia="en-US"/>
        </w:rPr>
      </w:pPr>
      <w:r w:rsidRPr="0025424D">
        <w:rPr>
          <w:rFonts w:ascii="Arial" w:eastAsia="Batang" w:hAnsi="Arial" w:cs="Arial"/>
          <w:sz w:val="24"/>
          <w:szCs w:val="24"/>
          <w:lang w:eastAsia="en-US"/>
        </w:rPr>
        <w:t>&lt;</w:t>
      </w:r>
      <w:hyperlink r:id="rId83" w:history="1">
        <w:r w:rsidRPr="0025424D">
          <w:rPr>
            <w:rFonts w:ascii="Arial" w:eastAsia="Batang" w:hAnsi="Arial" w:cs="Arial"/>
            <w:sz w:val="24"/>
            <w:u w:val="single"/>
            <w:lang w:eastAsia="en-US"/>
          </w:rPr>
          <w:t>http://www.seplan.to.gov.br/zee/Atlas_do_Tocantins_2005.pdf</w:t>
        </w:r>
      </w:hyperlink>
      <w:r w:rsidRPr="0025424D">
        <w:rPr>
          <w:rFonts w:ascii="Arial" w:eastAsia="Batang" w:hAnsi="Arial" w:cs="Arial"/>
          <w:sz w:val="24"/>
          <w:szCs w:val="24"/>
          <w:lang w:eastAsia="en-US"/>
        </w:rPr>
        <w:t>&gt;</w:t>
      </w:r>
      <w:r w:rsidRPr="0025424D">
        <w:rPr>
          <w:rFonts w:ascii="Arial" w:eastAsia="Arial Unicode MS" w:hAnsi="Arial" w:cs="Arial"/>
          <w:b/>
          <w:sz w:val="24"/>
          <w:szCs w:val="24"/>
          <w:lang w:eastAsia="en-US"/>
        </w:rPr>
        <w:t>Atlas digital: base de dados geográficos</w:t>
      </w:r>
      <w:r w:rsidRPr="0025424D">
        <w:rPr>
          <w:rFonts w:ascii="Arial" w:eastAsia="Arial Unicode MS" w:hAnsi="Arial" w:cs="Arial"/>
          <w:sz w:val="24"/>
          <w:szCs w:val="24"/>
          <w:lang w:eastAsia="en-US"/>
        </w:rPr>
        <w:t>. Palmas, Seplan, 2000. (CD Rom).</w:t>
      </w:r>
    </w:p>
    <w:p w:rsidR="00200528" w:rsidRPr="0025424D" w:rsidRDefault="00200528" w:rsidP="00200528">
      <w:pPr>
        <w:spacing w:before="120" w:after="100" w:line="276" w:lineRule="auto"/>
        <w:ind w:firstLine="709"/>
        <w:jc w:val="both"/>
        <w:rPr>
          <w:rFonts w:ascii="Arial" w:eastAsia="Arial Unicode MS" w:hAnsi="Arial" w:cs="Arial"/>
          <w:sz w:val="24"/>
          <w:szCs w:val="24"/>
          <w:lang w:eastAsia="en-US"/>
        </w:rPr>
      </w:pPr>
      <w:r w:rsidRPr="0025424D">
        <w:rPr>
          <w:rFonts w:ascii="Arial" w:eastAsia="Calibri" w:hAnsi="Arial" w:cs="Arial"/>
          <w:sz w:val="24"/>
          <w:szCs w:val="24"/>
          <w:lang w:eastAsia="en-US"/>
        </w:rPr>
        <w:t xml:space="preserve">TOCANTINS. </w:t>
      </w:r>
      <w:r w:rsidRPr="0025424D">
        <w:rPr>
          <w:rFonts w:ascii="Arial" w:eastAsia="Arial Unicode MS" w:hAnsi="Arial" w:cs="Arial"/>
          <w:sz w:val="24"/>
          <w:szCs w:val="24"/>
          <w:lang w:eastAsia="en-US"/>
        </w:rPr>
        <w:t xml:space="preserve">SECRETARIA DO PLANEJAMENTO E MEIO AMBIENTE – </w:t>
      </w:r>
      <w:r w:rsidRPr="0025424D">
        <w:rPr>
          <w:rFonts w:ascii="Arial" w:eastAsia="Arial Unicode MS" w:hAnsi="Arial" w:cs="Arial"/>
          <w:b/>
          <w:sz w:val="24"/>
          <w:szCs w:val="24"/>
          <w:lang w:eastAsia="en-US"/>
        </w:rPr>
        <w:t>Estudos sobre os PólosEcoturísticos do Estado do Tocantins</w:t>
      </w:r>
      <w:r w:rsidRPr="0025424D">
        <w:rPr>
          <w:rFonts w:ascii="Arial" w:eastAsia="Arial Unicode MS" w:hAnsi="Arial" w:cs="Arial"/>
          <w:sz w:val="24"/>
          <w:szCs w:val="24"/>
          <w:lang w:eastAsia="en-US"/>
        </w:rPr>
        <w:t>;</w:t>
      </w:r>
    </w:p>
    <w:p w:rsidR="00200528" w:rsidRPr="0025424D" w:rsidRDefault="00200528" w:rsidP="00200528">
      <w:pPr>
        <w:spacing w:before="120" w:after="100" w:line="276" w:lineRule="auto"/>
        <w:ind w:firstLine="709"/>
        <w:jc w:val="both"/>
        <w:rPr>
          <w:rFonts w:ascii="Arial" w:eastAsia="Calibri" w:hAnsi="Arial" w:cs="Arial"/>
          <w:sz w:val="24"/>
          <w:szCs w:val="24"/>
          <w:lang w:eastAsia="en-US"/>
        </w:rPr>
      </w:pPr>
      <w:r w:rsidRPr="0025424D">
        <w:rPr>
          <w:rFonts w:ascii="Arial" w:eastAsia="Calibri" w:hAnsi="Arial" w:cs="Arial"/>
          <w:sz w:val="24"/>
          <w:szCs w:val="24"/>
          <w:lang w:eastAsia="en-US"/>
        </w:rPr>
        <w:t xml:space="preserve">TOCANTINS. </w:t>
      </w:r>
      <w:r w:rsidRPr="0025424D">
        <w:rPr>
          <w:rFonts w:ascii="Arial" w:eastAsia="Arial Unicode MS" w:hAnsi="Arial" w:cs="Arial"/>
          <w:sz w:val="24"/>
          <w:szCs w:val="24"/>
          <w:lang w:eastAsia="en-US"/>
        </w:rPr>
        <w:t xml:space="preserve">SECRETARIA DO PLANEJAMENTO E MEIO AMBIENTE – </w:t>
      </w:r>
      <w:r w:rsidRPr="0025424D">
        <w:rPr>
          <w:rFonts w:ascii="Arial" w:eastAsia="Arial Unicode MS" w:hAnsi="Arial" w:cs="Arial"/>
          <w:b/>
          <w:sz w:val="24"/>
          <w:szCs w:val="24"/>
          <w:lang w:eastAsia="en-US"/>
        </w:rPr>
        <w:t xml:space="preserve">Diagnóstico e Plano das Bacias Hidrográficas dos Rios Lontra e Corda – </w:t>
      </w:r>
      <w:r w:rsidRPr="0025424D">
        <w:rPr>
          <w:rFonts w:ascii="Arial" w:eastAsia="Arial Unicode MS" w:hAnsi="Arial" w:cs="Arial"/>
          <w:sz w:val="24"/>
          <w:szCs w:val="24"/>
          <w:lang w:eastAsia="en-US"/>
        </w:rPr>
        <w:t>região norte do Estado – 2002;</w:t>
      </w:r>
    </w:p>
    <w:p w:rsidR="00200528" w:rsidRPr="0025424D" w:rsidRDefault="00200528" w:rsidP="00200528">
      <w:pPr>
        <w:spacing w:before="120" w:after="100" w:line="276" w:lineRule="auto"/>
        <w:ind w:firstLine="709"/>
        <w:jc w:val="both"/>
        <w:rPr>
          <w:rFonts w:ascii="Arial" w:eastAsia="Arial Unicode MS" w:hAnsi="Arial" w:cs="Arial"/>
          <w:sz w:val="24"/>
          <w:szCs w:val="24"/>
          <w:lang w:eastAsia="en-US"/>
        </w:rPr>
      </w:pPr>
      <w:r w:rsidRPr="0025424D">
        <w:rPr>
          <w:rFonts w:ascii="Arial" w:eastAsia="Calibri" w:hAnsi="Arial" w:cs="Arial"/>
          <w:sz w:val="24"/>
          <w:szCs w:val="24"/>
          <w:lang w:eastAsia="en-US"/>
        </w:rPr>
        <w:t>TOCANTINS.</w:t>
      </w:r>
      <w:r w:rsidRPr="0025424D">
        <w:rPr>
          <w:rFonts w:ascii="Arial" w:eastAsia="Arial Unicode MS" w:hAnsi="Arial" w:cs="Arial"/>
          <w:sz w:val="24"/>
          <w:szCs w:val="24"/>
          <w:lang w:eastAsia="en-US"/>
        </w:rPr>
        <w:t xml:space="preserve">SECRETARIA DO PLANEJAMENTO E MEIO AMBIENTE - </w:t>
      </w:r>
      <w:r w:rsidRPr="0025424D">
        <w:rPr>
          <w:rFonts w:ascii="Arial" w:eastAsia="Arial Unicode MS" w:hAnsi="Arial" w:cs="Arial"/>
          <w:b/>
          <w:sz w:val="24"/>
          <w:szCs w:val="24"/>
          <w:lang w:eastAsia="en-US"/>
        </w:rPr>
        <w:t>Diagnóstico do Uso de Agroquímicos nas Sub-bacias Hidrográficas a Montante do Parque Estadual do Cantão e seu Entorno</w:t>
      </w:r>
      <w:r w:rsidRPr="0025424D">
        <w:rPr>
          <w:rFonts w:ascii="Arial" w:eastAsia="Arial Unicode MS" w:hAnsi="Arial" w:cs="Arial"/>
          <w:sz w:val="24"/>
          <w:szCs w:val="24"/>
          <w:lang w:eastAsia="en-US"/>
        </w:rPr>
        <w:t xml:space="preserve"> – 2002;</w:t>
      </w:r>
    </w:p>
    <w:p w:rsidR="00200528" w:rsidRPr="0025424D" w:rsidRDefault="00200528" w:rsidP="00200528">
      <w:pPr>
        <w:spacing w:before="120" w:after="100" w:line="276" w:lineRule="auto"/>
        <w:ind w:firstLine="709"/>
        <w:jc w:val="both"/>
        <w:rPr>
          <w:rFonts w:ascii="Arial" w:eastAsia="Arial Unicode MS" w:hAnsi="Arial" w:cs="Arial"/>
          <w:sz w:val="24"/>
          <w:szCs w:val="24"/>
          <w:lang w:eastAsia="en-US"/>
        </w:rPr>
      </w:pPr>
      <w:r w:rsidRPr="0025424D">
        <w:rPr>
          <w:rFonts w:ascii="Arial" w:eastAsia="Calibri" w:hAnsi="Arial" w:cs="Arial"/>
          <w:sz w:val="24"/>
          <w:szCs w:val="24"/>
          <w:lang w:eastAsia="en-US"/>
        </w:rPr>
        <w:t xml:space="preserve">TOCANTINS. </w:t>
      </w:r>
      <w:r w:rsidRPr="0025424D">
        <w:rPr>
          <w:rFonts w:ascii="Arial" w:eastAsia="Arial Unicode MS" w:hAnsi="Arial" w:cs="Arial"/>
          <w:sz w:val="24"/>
          <w:szCs w:val="24"/>
          <w:lang w:eastAsia="en-US"/>
        </w:rPr>
        <w:t xml:space="preserve">SECRETARIA DO PLANEJAMENTO E MEIO AMBIENTE – </w:t>
      </w:r>
      <w:r w:rsidRPr="0025424D">
        <w:rPr>
          <w:rFonts w:ascii="Arial" w:eastAsia="Arial Unicode MS" w:hAnsi="Arial" w:cs="Arial"/>
          <w:b/>
          <w:sz w:val="24"/>
          <w:szCs w:val="24"/>
          <w:lang w:eastAsia="en-US"/>
        </w:rPr>
        <w:t xml:space="preserve">Diagnóstico das potencialidades e mapeamento hidrogeológico das Fontes termais de Jaú e Paraná do Tocantins </w:t>
      </w:r>
      <w:r w:rsidRPr="0025424D">
        <w:rPr>
          <w:rFonts w:ascii="Arial" w:eastAsia="Arial Unicode MS" w:hAnsi="Arial" w:cs="Arial"/>
          <w:sz w:val="24"/>
          <w:szCs w:val="24"/>
          <w:lang w:eastAsia="en-US"/>
        </w:rPr>
        <w:t>– 2003</w:t>
      </w:r>
    </w:p>
    <w:p w:rsidR="00200528" w:rsidRPr="0025424D" w:rsidRDefault="00200528" w:rsidP="00200528">
      <w:pPr>
        <w:spacing w:before="120" w:after="100" w:line="276" w:lineRule="auto"/>
        <w:ind w:firstLine="709"/>
        <w:jc w:val="both"/>
        <w:rPr>
          <w:rFonts w:ascii="Arial" w:eastAsia="Arial Unicode MS" w:hAnsi="Arial" w:cs="Arial"/>
          <w:sz w:val="24"/>
          <w:szCs w:val="24"/>
          <w:lang w:eastAsia="en-US"/>
        </w:rPr>
      </w:pPr>
      <w:r w:rsidRPr="0025424D">
        <w:rPr>
          <w:rFonts w:ascii="Arial" w:eastAsia="Calibri" w:hAnsi="Arial" w:cs="Arial"/>
          <w:sz w:val="24"/>
          <w:szCs w:val="24"/>
          <w:lang w:eastAsia="en-US"/>
        </w:rPr>
        <w:t xml:space="preserve">TOCANTINS. </w:t>
      </w:r>
      <w:r w:rsidRPr="0025424D">
        <w:rPr>
          <w:rFonts w:ascii="Arial" w:eastAsia="Arial Unicode MS" w:hAnsi="Arial" w:cs="Arial"/>
          <w:sz w:val="24"/>
          <w:szCs w:val="24"/>
          <w:lang w:eastAsia="en-US"/>
        </w:rPr>
        <w:t xml:space="preserve">SECRETARIA DO PLANEJAMENTO E MEIO AMBIENTE – </w:t>
      </w:r>
      <w:r w:rsidRPr="0025424D">
        <w:rPr>
          <w:rFonts w:ascii="Arial" w:eastAsia="Arial Unicode MS" w:hAnsi="Arial" w:cs="Arial"/>
          <w:b/>
          <w:sz w:val="24"/>
          <w:szCs w:val="24"/>
          <w:lang w:eastAsia="en-US"/>
        </w:rPr>
        <w:t xml:space="preserve">Zoneamento Econômico Ecológico da região norte do Estado do Tocantins </w:t>
      </w:r>
      <w:r w:rsidRPr="0025424D">
        <w:rPr>
          <w:rFonts w:ascii="Arial" w:eastAsia="Arial Unicode MS" w:hAnsi="Arial" w:cs="Arial"/>
          <w:sz w:val="24"/>
          <w:szCs w:val="24"/>
          <w:lang w:eastAsia="en-US"/>
        </w:rPr>
        <w:t>– 2003</w:t>
      </w:r>
    </w:p>
    <w:p w:rsidR="00200528" w:rsidRPr="0025424D" w:rsidRDefault="00200528" w:rsidP="00200528">
      <w:pPr>
        <w:spacing w:before="120" w:after="100" w:line="276" w:lineRule="auto"/>
        <w:ind w:firstLine="709"/>
        <w:jc w:val="both"/>
        <w:rPr>
          <w:rFonts w:ascii="Arial" w:eastAsia="Arial Unicode MS" w:hAnsi="Arial" w:cs="Arial"/>
          <w:sz w:val="24"/>
          <w:szCs w:val="24"/>
          <w:lang w:eastAsia="en-US"/>
        </w:rPr>
      </w:pPr>
      <w:r w:rsidRPr="0025424D">
        <w:rPr>
          <w:rFonts w:ascii="Arial" w:eastAsia="Calibri" w:hAnsi="Arial" w:cs="Arial"/>
          <w:sz w:val="24"/>
          <w:szCs w:val="24"/>
          <w:lang w:eastAsia="en-US"/>
        </w:rPr>
        <w:t xml:space="preserve">TOCANTINS. </w:t>
      </w:r>
      <w:r w:rsidRPr="0025424D">
        <w:rPr>
          <w:rFonts w:ascii="Arial" w:eastAsia="Arial Unicode MS" w:hAnsi="Arial" w:cs="Arial"/>
          <w:sz w:val="24"/>
          <w:szCs w:val="24"/>
          <w:lang w:eastAsia="en-US"/>
        </w:rPr>
        <w:t xml:space="preserve">SECRETARIA DO PLANEJAMENTO E MEIO AMBIENTE – </w:t>
      </w:r>
      <w:r w:rsidRPr="0025424D">
        <w:rPr>
          <w:rFonts w:ascii="Arial" w:eastAsia="Arial Unicode MS" w:hAnsi="Arial" w:cs="Arial"/>
          <w:b/>
          <w:sz w:val="24"/>
          <w:szCs w:val="24"/>
          <w:lang w:eastAsia="en-US"/>
        </w:rPr>
        <w:t>Diagnóstico e Plano das Bacias Hidrográficas no Entorno de Palmas</w:t>
      </w:r>
      <w:r w:rsidRPr="0025424D">
        <w:rPr>
          <w:rFonts w:ascii="Arial" w:eastAsia="Arial Unicode MS" w:hAnsi="Arial" w:cs="Arial"/>
          <w:sz w:val="24"/>
          <w:szCs w:val="24"/>
          <w:lang w:eastAsia="en-US"/>
        </w:rPr>
        <w:t xml:space="preserve"> – 2004;</w:t>
      </w:r>
    </w:p>
    <w:p w:rsidR="00200528" w:rsidRPr="0025424D" w:rsidRDefault="00200528" w:rsidP="00200528">
      <w:pPr>
        <w:spacing w:before="120" w:after="100" w:line="276" w:lineRule="auto"/>
        <w:ind w:firstLine="709"/>
        <w:jc w:val="both"/>
        <w:rPr>
          <w:rFonts w:ascii="Arial" w:eastAsia="Calibri" w:hAnsi="Arial" w:cs="Arial"/>
          <w:sz w:val="24"/>
          <w:szCs w:val="24"/>
          <w:lang w:eastAsia="en-US"/>
        </w:rPr>
      </w:pPr>
      <w:r w:rsidRPr="0025424D">
        <w:rPr>
          <w:rFonts w:ascii="Arial" w:eastAsia="Calibri" w:hAnsi="Arial" w:cs="Arial"/>
          <w:sz w:val="24"/>
          <w:szCs w:val="24"/>
          <w:lang w:eastAsia="en-US"/>
        </w:rPr>
        <w:t xml:space="preserve">TOCANTINS. SECRETARIA DOS RECURSOS HÍDRICOS – </w:t>
      </w:r>
      <w:r w:rsidRPr="0025424D">
        <w:rPr>
          <w:rFonts w:ascii="Arial" w:eastAsia="Calibri" w:hAnsi="Arial" w:cs="Arial"/>
          <w:b/>
          <w:sz w:val="24"/>
          <w:szCs w:val="24"/>
          <w:lang w:eastAsia="en-US"/>
        </w:rPr>
        <w:t>Diagnóstico dos Recursos Hídricos das Bacias dos Rios Xavante e Urubu</w:t>
      </w:r>
      <w:r w:rsidRPr="0025424D">
        <w:rPr>
          <w:rFonts w:ascii="Arial" w:eastAsia="Calibri" w:hAnsi="Arial" w:cs="Arial"/>
          <w:sz w:val="24"/>
          <w:szCs w:val="24"/>
          <w:lang w:eastAsia="en-US"/>
        </w:rPr>
        <w:t xml:space="preserve"> – 2005</w:t>
      </w:r>
    </w:p>
    <w:p w:rsidR="00200528" w:rsidRDefault="00200528" w:rsidP="00200528">
      <w:pPr>
        <w:widowControl w:val="0"/>
        <w:spacing w:after="200" w:line="276" w:lineRule="auto"/>
        <w:ind w:firstLine="709"/>
        <w:jc w:val="both"/>
        <w:rPr>
          <w:rFonts w:ascii="Arial" w:eastAsia="Calibri" w:hAnsi="Arial" w:cs="Arial"/>
          <w:sz w:val="24"/>
          <w:szCs w:val="24"/>
          <w:lang w:eastAsia="en-US"/>
        </w:rPr>
      </w:pPr>
      <w:r w:rsidRPr="0025424D">
        <w:rPr>
          <w:rFonts w:ascii="Arial" w:eastAsia="Calibri" w:hAnsi="Arial" w:cs="Arial"/>
          <w:sz w:val="24"/>
          <w:szCs w:val="24"/>
          <w:lang w:eastAsia="en-US"/>
        </w:rPr>
        <w:lastRenderedPageBreak/>
        <w:t xml:space="preserve">TOCANTINS. SECRETARIA DOS RECURSOS HÍDRICOS – </w:t>
      </w:r>
      <w:r w:rsidRPr="0025424D">
        <w:rPr>
          <w:rFonts w:ascii="Arial" w:eastAsia="Calibri" w:hAnsi="Arial" w:cs="Arial"/>
          <w:b/>
          <w:sz w:val="24"/>
          <w:szCs w:val="24"/>
          <w:lang w:eastAsia="en-US"/>
        </w:rPr>
        <w:t>Plano de Ação para os Recursos Hídricos e Aproveitamento Hidroagrícola do Estado do Tocantins</w:t>
      </w:r>
      <w:r w:rsidRPr="0025424D">
        <w:rPr>
          <w:rFonts w:ascii="Arial" w:eastAsia="Calibri" w:hAnsi="Arial" w:cs="Arial"/>
          <w:sz w:val="24"/>
          <w:szCs w:val="24"/>
          <w:lang w:eastAsia="en-US"/>
        </w:rPr>
        <w:t xml:space="preserve"> – 2006.</w:t>
      </w:r>
    </w:p>
    <w:p w:rsidR="00200528" w:rsidRDefault="00200528" w:rsidP="0025424D">
      <w:pPr>
        <w:widowControl w:val="0"/>
        <w:spacing w:after="200" w:line="360" w:lineRule="auto"/>
        <w:jc w:val="both"/>
      </w:pPr>
    </w:p>
    <w:p w:rsidR="00200528" w:rsidRDefault="00200528" w:rsidP="0025424D">
      <w:pPr>
        <w:widowControl w:val="0"/>
        <w:spacing w:after="200" w:line="360" w:lineRule="auto"/>
        <w:jc w:val="both"/>
      </w:pPr>
    </w:p>
    <w:p w:rsidR="00200528" w:rsidRPr="006A4EE4" w:rsidRDefault="00200528" w:rsidP="0025424D">
      <w:pPr>
        <w:widowControl w:val="0"/>
        <w:spacing w:after="200" w:line="360" w:lineRule="auto"/>
        <w:jc w:val="both"/>
      </w:pPr>
    </w:p>
    <w:sectPr w:rsidR="00200528" w:rsidRPr="006A4EE4" w:rsidSect="00200528">
      <w:headerReference w:type="default" r:id="rId84"/>
      <w:footerReference w:type="even" r:id="rId85"/>
      <w:footerReference w:type="default" r:id="rId86"/>
      <w:pgSz w:w="11907" w:h="16840"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56B" w:rsidRDefault="001C356B">
      <w:r>
        <w:separator/>
      </w:r>
    </w:p>
  </w:endnote>
  <w:endnote w:type="continuationSeparator" w:id="0">
    <w:p w:rsidR="001C356B" w:rsidRDefault="001C3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1F0" w:rsidRDefault="000D5859" w:rsidP="001F39C2">
    <w:pPr>
      <w:pStyle w:val="Rodap"/>
      <w:framePr w:wrap="around" w:vAnchor="text" w:hAnchor="margin" w:xAlign="right" w:y="1"/>
      <w:rPr>
        <w:rStyle w:val="Nmerodepgina"/>
      </w:rPr>
    </w:pPr>
    <w:r>
      <w:rPr>
        <w:rStyle w:val="Nmerodepgina"/>
      </w:rPr>
      <w:fldChar w:fldCharType="begin"/>
    </w:r>
    <w:r w:rsidR="005B31F0">
      <w:rPr>
        <w:rStyle w:val="Nmerodepgina"/>
      </w:rPr>
      <w:instrText xml:space="preserve">PAGE  </w:instrText>
    </w:r>
    <w:r>
      <w:rPr>
        <w:rStyle w:val="Nmerodepgina"/>
      </w:rPr>
      <w:fldChar w:fldCharType="end"/>
    </w:r>
  </w:p>
  <w:p w:rsidR="005B31F0" w:rsidRDefault="005B31F0">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1F0" w:rsidRPr="001F39C2" w:rsidRDefault="000D5859" w:rsidP="002A1C5E">
    <w:pPr>
      <w:pStyle w:val="Rodap"/>
      <w:framePr w:wrap="around" w:vAnchor="text" w:hAnchor="margin" w:xAlign="right" w:y="1"/>
      <w:rPr>
        <w:rStyle w:val="Nmerodepgina"/>
        <w:sz w:val="16"/>
        <w:szCs w:val="16"/>
      </w:rPr>
    </w:pPr>
    <w:r w:rsidRPr="001F39C2">
      <w:rPr>
        <w:rStyle w:val="Nmerodepgina"/>
        <w:sz w:val="16"/>
        <w:szCs w:val="16"/>
      </w:rPr>
      <w:fldChar w:fldCharType="begin"/>
    </w:r>
    <w:r w:rsidR="005B31F0" w:rsidRPr="001F39C2">
      <w:rPr>
        <w:rStyle w:val="Nmerodepgina"/>
        <w:sz w:val="16"/>
        <w:szCs w:val="16"/>
      </w:rPr>
      <w:instrText xml:space="preserve">PAGE  </w:instrText>
    </w:r>
    <w:r w:rsidRPr="001F39C2">
      <w:rPr>
        <w:rStyle w:val="Nmerodepgina"/>
        <w:sz w:val="16"/>
        <w:szCs w:val="16"/>
      </w:rPr>
      <w:fldChar w:fldCharType="separate"/>
    </w:r>
    <w:r w:rsidR="00C73B83">
      <w:rPr>
        <w:rStyle w:val="Nmerodepgina"/>
        <w:noProof/>
        <w:sz w:val="16"/>
        <w:szCs w:val="16"/>
      </w:rPr>
      <w:t>1</w:t>
    </w:r>
    <w:r w:rsidRPr="001F39C2">
      <w:rPr>
        <w:rStyle w:val="Nmerodepgina"/>
        <w:sz w:val="16"/>
        <w:szCs w:val="16"/>
      </w:rPr>
      <w:fldChar w:fldCharType="end"/>
    </w:r>
  </w:p>
  <w:p w:rsidR="005B31F0" w:rsidRDefault="005B31F0">
    <w:pPr>
      <w:pStyle w:val="Rodap"/>
      <w:tabs>
        <w:tab w:val="clear" w:pos="8838"/>
        <w:tab w:val="right" w:pos="9720"/>
      </w:tabs>
      <w:ind w:left="180"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528" w:rsidRDefault="000D5859" w:rsidP="001F39C2">
    <w:pPr>
      <w:pStyle w:val="Rodap"/>
      <w:framePr w:wrap="around" w:vAnchor="text" w:hAnchor="margin" w:xAlign="right" w:y="1"/>
      <w:rPr>
        <w:rStyle w:val="Nmerodepgina"/>
      </w:rPr>
    </w:pPr>
    <w:r>
      <w:rPr>
        <w:rStyle w:val="Nmerodepgina"/>
      </w:rPr>
      <w:fldChar w:fldCharType="begin"/>
    </w:r>
    <w:r w:rsidR="00200528">
      <w:rPr>
        <w:rStyle w:val="Nmerodepgina"/>
      </w:rPr>
      <w:instrText xml:space="preserve">PAGE  </w:instrText>
    </w:r>
    <w:r>
      <w:rPr>
        <w:rStyle w:val="Nmerodepgina"/>
      </w:rPr>
      <w:fldChar w:fldCharType="end"/>
    </w:r>
  </w:p>
  <w:p w:rsidR="00200528" w:rsidRDefault="00200528">
    <w:pPr>
      <w:pStyle w:val="Rodap"/>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528" w:rsidRPr="001F39C2" w:rsidRDefault="000D5859" w:rsidP="002A1C5E">
    <w:pPr>
      <w:pStyle w:val="Rodap"/>
      <w:framePr w:wrap="around" w:vAnchor="text" w:hAnchor="margin" w:xAlign="right" w:y="1"/>
      <w:rPr>
        <w:rStyle w:val="Nmerodepgina"/>
        <w:sz w:val="16"/>
        <w:szCs w:val="16"/>
      </w:rPr>
    </w:pPr>
    <w:r w:rsidRPr="001F39C2">
      <w:rPr>
        <w:rStyle w:val="Nmerodepgina"/>
        <w:sz w:val="16"/>
        <w:szCs w:val="16"/>
      </w:rPr>
      <w:fldChar w:fldCharType="begin"/>
    </w:r>
    <w:r w:rsidR="00200528" w:rsidRPr="001F39C2">
      <w:rPr>
        <w:rStyle w:val="Nmerodepgina"/>
        <w:sz w:val="16"/>
        <w:szCs w:val="16"/>
      </w:rPr>
      <w:instrText xml:space="preserve">PAGE  </w:instrText>
    </w:r>
    <w:r w:rsidRPr="001F39C2">
      <w:rPr>
        <w:rStyle w:val="Nmerodepgina"/>
        <w:sz w:val="16"/>
        <w:szCs w:val="16"/>
      </w:rPr>
      <w:fldChar w:fldCharType="separate"/>
    </w:r>
    <w:r w:rsidR="00C73B83">
      <w:rPr>
        <w:rStyle w:val="Nmerodepgina"/>
        <w:noProof/>
        <w:sz w:val="16"/>
        <w:szCs w:val="16"/>
      </w:rPr>
      <w:t>26</w:t>
    </w:r>
    <w:r w:rsidRPr="001F39C2">
      <w:rPr>
        <w:rStyle w:val="Nmerodepgina"/>
        <w:sz w:val="16"/>
        <w:szCs w:val="16"/>
      </w:rPr>
      <w:fldChar w:fldCharType="end"/>
    </w:r>
  </w:p>
  <w:p w:rsidR="00200528" w:rsidRDefault="00200528">
    <w:pPr>
      <w:pStyle w:val="Rodap"/>
      <w:tabs>
        <w:tab w:val="clear" w:pos="8838"/>
        <w:tab w:val="right" w:pos="9720"/>
      </w:tabs>
      <w:ind w:left="180"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56B" w:rsidRDefault="001C356B">
      <w:r>
        <w:separator/>
      </w:r>
    </w:p>
  </w:footnote>
  <w:footnote w:type="continuationSeparator" w:id="0">
    <w:p w:rsidR="001C356B" w:rsidRDefault="001C35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1F0" w:rsidRDefault="00C73B83">
    <w:pPr>
      <w:pStyle w:val="Cabealho"/>
      <w:jc w:val="center"/>
    </w:pPr>
    <w:r w:rsidRPr="005E2576">
      <w:rPr>
        <w:rFonts w:ascii="Arial Black" w:hAnsi="Arial Black"/>
        <w:b/>
        <w:noProof/>
        <w:sz w:val="16"/>
        <w:lang w:eastAsia="pt-BR"/>
      </w:rPr>
      <w:drawing>
        <wp:inline distT="0" distB="0" distL="0" distR="0">
          <wp:extent cx="5572125" cy="876300"/>
          <wp:effectExtent l="0" t="0" r="9525" b="0"/>
          <wp:docPr id="8" name="Imagem 8" descr="Nova Logo S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Nova Logo SEPL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2125" cy="876300"/>
                  </a:xfrm>
                  <a:prstGeom prst="rect">
                    <a:avLst/>
                  </a:prstGeom>
                  <a:noFill/>
                  <a:ln>
                    <a:noFill/>
                  </a:ln>
                </pic:spPr>
              </pic:pic>
            </a:graphicData>
          </a:graphic>
        </wp:inline>
      </w:drawing>
    </w:r>
  </w:p>
  <w:p w:rsidR="005B31F0" w:rsidRDefault="00C73B83">
    <w:pPr>
      <w:pStyle w:val="Cabealho"/>
      <w:jc w:val="center"/>
      <w:rPr>
        <w:rFonts w:ascii="Verdana" w:hAnsi="Verdana"/>
      </w:rPr>
    </w:pPr>
    <w:r w:rsidRPr="00C73B83">
      <w:rPr>
        <w:rFonts w:ascii="Verdana" w:hAnsi="Verdana"/>
      </w:rPr>
      <w:object w:dxaOrig="9072" w:dyaOrig="13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57pt">
          <v:imagedata r:id="rId2" o:title=""/>
        </v:shape>
        <o:OLEObject Type="Embed" ProgID="Word.Document.12" ShapeID="_x0000_i1025" DrawAspect="Content" ObjectID="_1572173836" r:id="rId3">
          <o:FieldCodes>\s</o:FieldCodes>
        </o:OLEObject>
      </w:object>
    </w:r>
    <w:r w:rsidR="007D771E">
      <w:rPr>
        <w:rFonts w:ascii="Verdana" w:hAnsi="Verdana"/>
      </w:rPr>
      <w:t xml:space="preserve"> </w:t>
    </w:r>
  </w:p>
  <w:p w:rsidR="005B31F0" w:rsidRDefault="005B31F0">
    <w:pPr>
      <w:pStyle w:val="Cabealho"/>
      <w:jc w:val="center"/>
      <w:rPr>
        <w:rFonts w:ascii="Verdana" w:hAnsi="Verdan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528" w:rsidRDefault="00C3698A">
    <w:pPr>
      <w:pStyle w:val="Cabealho"/>
      <w:jc w:val="center"/>
    </w:pPr>
    <w:r>
      <w:rPr>
        <w:noProof/>
        <w:lang w:eastAsia="pt-BR"/>
      </w:rPr>
      <w:drawing>
        <wp:inline distT="0" distB="0" distL="0" distR="0">
          <wp:extent cx="457200" cy="553085"/>
          <wp:effectExtent l="19050" t="0" r="0" b="0"/>
          <wp:docPr id="2" name="Imagem 2" descr="Brasao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Estado"/>
                  <pic:cNvPicPr>
                    <a:picLocks noChangeAspect="1" noChangeArrowheads="1"/>
                  </pic:cNvPicPr>
                </pic:nvPicPr>
                <pic:blipFill>
                  <a:blip r:embed="rId1"/>
                  <a:srcRect/>
                  <a:stretch>
                    <a:fillRect/>
                  </a:stretch>
                </pic:blipFill>
                <pic:spPr bwMode="auto">
                  <a:xfrm>
                    <a:off x="0" y="0"/>
                    <a:ext cx="457200" cy="553085"/>
                  </a:xfrm>
                  <a:prstGeom prst="rect">
                    <a:avLst/>
                  </a:prstGeom>
                  <a:noFill/>
                  <a:ln w="9525">
                    <a:noFill/>
                    <a:miter lim="800000"/>
                    <a:headEnd/>
                    <a:tailEnd/>
                  </a:ln>
                </pic:spPr>
              </pic:pic>
            </a:graphicData>
          </a:graphic>
        </wp:inline>
      </w:drawing>
    </w:r>
  </w:p>
  <w:p w:rsidR="00200528" w:rsidRDefault="00200528">
    <w:pPr>
      <w:pStyle w:val="Cabealho"/>
      <w:jc w:val="center"/>
      <w:rPr>
        <w:rFonts w:ascii="Verdana" w:hAnsi="Verdana"/>
      </w:rPr>
    </w:pPr>
    <w:r>
      <w:rPr>
        <w:rFonts w:ascii="Verdana" w:hAnsi="Verdana"/>
      </w:rPr>
      <w:t>Governo do Estado do Tocantins</w:t>
    </w:r>
  </w:p>
  <w:p w:rsidR="00200528" w:rsidRDefault="00200528">
    <w:pPr>
      <w:pStyle w:val="Cabealho"/>
      <w:jc w:val="center"/>
      <w:rPr>
        <w:rFonts w:ascii="Verdana" w:hAnsi="Verdana"/>
      </w:rPr>
    </w:pPr>
    <w:r>
      <w:rPr>
        <w:rFonts w:ascii="Verdana" w:hAnsi="Verdana"/>
      </w:rPr>
      <w:t xml:space="preserve">Secretaria de Meio Ambiente e Recursos Hídricos </w:t>
    </w:r>
  </w:p>
  <w:p w:rsidR="00200528" w:rsidRDefault="00200528">
    <w:pPr>
      <w:pStyle w:val="Cabealho"/>
      <w:jc w:val="center"/>
      <w:rPr>
        <w:rFonts w:ascii="Verdana" w:hAnsi="Verdan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D36EE"/>
    <w:multiLevelType w:val="hybridMultilevel"/>
    <w:tmpl w:val="2E5265C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3841B2"/>
    <w:multiLevelType w:val="hybridMultilevel"/>
    <w:tmpl w:val="10B66CFA"/>
    <w:lvl w:ilvl="0" w:tplc="53542B38">
      <w:start w:val="1"/>
      <w:numFmt w:val="lowerLetter"/>
      <w:lvlText w:val="%1)"/>
      <w:lvlJc w:val="left"/>
      <w:pPr>
        <w:ind w:left="720" w:hanging="360"/>
      </w:pPr>
      <w:rPr>
        <w:rFonts w:ascii="Times New Roman" w:eastAsia="Times New Roman" w:hAnsi="Times New Roman" w:cs="Calibr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D2D5590"/>
    <w:multiLevelType w:val="hybridMultilevel"/>
    <w:tmpl w:val="5D8423EA"/>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4E34588D"/>
    <w:multiLevelType w:val="hybridMultilevel"/>
    <w:tmpl w:val="E5EE7952"/>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512124DC"/>
    <w:multiLevelType w:val="hybridMultilevel"/>
    <w:tmpl w:val="B2029E4C"/>
    <w:lvl w:ilvl="0" w:tplc="837E056A">
      <w:start w:val="1"/>
      <w:numFmt w:val="bullet"/>
      <w:lvlText w:val=""/>
      <w:lvlJc w:val="left"/>
      <w:pPr>
        <w:tabs>
          <w:tab w:val="num" w:pos="720"/>
        </w:tabs>
        <w:ind w:left="720" w:hanging="360"/>
      </w:pPr>
      <w:rPr>
        <w:rFonts w:ascii="Symbol" w:hAnsi="Symbol"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C028D3"/>
    <w:multiLevelType w:val="singleLevel"/>
    <w:tmpl w:val="02583BE4"/>
    <w:lvl w:ilvl="0">
      <w:start w:val="2"/>
      <w:numFmt w:val="bullet"/>
      <w:pStyle w:val="Figura"/>
      <w:lvlText w:val="-"/>
      <w:lvlJc w:val="left"/>
      <w:pPr>
        <w:tabs>
          <w:tab w:val="num" w:pos="720"/>
        </w:tabs>
        <w:ind w:left="720" w:hanging="360"/>
      </w:pPr>
      <w:rPr>
        <w:rFonts w:ascii="Times New Roman" w:hAnsi="Times New Roman" w:hint="default"/>
      </w:rPr>
    </w:lvl>
  </w:abstractNum>
  <w:abstractNum w:abstractNumId="6" w15:restartNumberingAfterBreak="0">
    <w:nsid w:val="603D5937"/>
    <w:multiLevelType w:val="hybridMultilevel"/>
    <w:tmpl w:val="BC9EAD06"/>
    <w:lvl w:ilvl="0" w:tplc="53542B38">
      <w:start w:val="1"/>
      <w:numFmt w:val="lowerLetter"/>
      <w:lvlText w:val="%1)"/>
      <w:lvlJc w:val="left"/>
      <w:pPr>
        <w:ind w:left="720" w:hanging="360"/>
      </w:pPr>
      <w:rPr>
        <w:rFonts w:ascii="Times New Roman" w:eastAsia="Times New Roman" w:hAnsi="Times New Roman" w:cs="Calibr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6"/>
  </w:num>
  <w:num w:numId="5">
    <w:abstractNumId w:val="1"/>
  </w:num>
  <w:num w:numId="6">
    <w:abstractNumId w:val="3"/>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7A8"/>
    <w:rsid w:val="000232F6"/>
    <w:rsid w:val="000236B8"/>
    <w:rsid w:val="00035A5E"/>
    <w:rsid w:val="0006622E"/>
    <w:rsid w:val="00073044"/>
    <w:rsid w:val="0009601B"/>
    <w:rsid w:val="000973E6"/>
    <w:rsid w:val="000B232E"/>
    <w:rsid w:val="000D0EAC"/>
    <w:rsid w:val="000D5859"/>
    <w:rsid w:val="000F6837"/>
    <w:rsid w:val="00100752"/>
    <w:rsid w:val="00117452"/>
    <w:rsid w:val="00141F1F"/>
    <w:rsid w:val="0015442A"/>
    <w:rsid w:val="001569F0"/>
    <w:rsid w:val="00161232"/>
    <w:rsid w:val="001658DC"/>
    <w:rsid w:val="00172010"/>
    <w:rsid w:val="00197C1C"/>
    <w:rsid w:val="001A0565"/>
    <w:rsid w:val="001C0165"/>
    <w:rsid w:val="001C356B"/>
    <w:rsid w:val="001E389A"/>
    <w:rsid w:val="001E536E"/>
    <w:rsid w:val="001F0541"/>
    <w:rsid w:val="001F39C2"/>
    <w:rsid w:val="00200528"/>
    <w:rsid w:val="00223AC6"/>
    <w:rsid w:val="0023595E"/>
    <w:rsid w:val="002423EA"/>
    <w:rsid w:val="00244EF5"/>
    <w:rsid w:val="0025424D"/>
    <w:rsid w:val="0025446F"/>
    <w:rsid w:val="002754EB"/>
    <w:rsid w:val="00290E78"/>
    <w:rsid w:val="00292AA2"/>
    <w:rsid w:val="002A1C5E"/>
    <w:rsid w:val="002B5D6E"/>
    <w:rsid w:val="002E72A3"/>
    <w:rsid w:val="002F6966"/>
    <w:rsid w:val="00305A6E"/>
    <w:rsid w:val="00330BF1"/>
    <w:rsid w:val="00357996"/>
    <w:rsid w:val="003705B5"/>
    <w:rsid w:val="00377F63"/>
    <w:rsid w:val="00380FBC"/>
    <w:rsid w:val="00392F33"/>
    <w:rsid w:val="003C6BDB"/>
    <w:rsid w:val="003D4651"/>
    <w:rsid w:val="003F6AB2"/>
    <w:rsid w:val="004048B8"/>
    <w:rsid w:val="00411090"/>
    <w:rsid w:val="00432D98"/>
    <w:rsid w:val="00487A14"/>
    <w:rsid w:val="004B0BC4"/>
    <w:rsid w:val="004B602C"/>
    <w:rsid w:val="004C0EB3"/>
    <w:rsid w:val="004C4705"/>
    <w:rsid w:val="004C58A3"/>
    <w:rsid w:val="004D5F67"/>
    <w:rsid w:val="004E17F2"/>
    <w:rsid w:val="004E791C"/>
    <w:rsid w:val="0050228C"/>
    <w:rsid w:val="005072B5"/>
    <w:rsid w:val="0050751D"/>
    <w:rsid w:val="005116B6"/>
    <w:rsid w:val="005132A1"/>
    <w:rsid w:val="0052336A"/>
    <w:rsid w:val="00531D32"/>
    <w:rsid w:val="00533722"/>
    <w:rsid w:val="0058570C"/>
    <w:rsid w:val="00586C14"/>
    <w:rsid w:val="005912EA"/>
    <w:rsid w:val="00592100"/>
    <w:rsid w:val="005B31F0"/>
    <w:rsid w:val="005C4693"/>
    <w:rsid w:val="005F2068"/>
    <w:rsid w:val="006040C4"/>
    <w:rsid w:val="0063531C"/>
    <w:rsid w:val="00636FE0"/>
    <w:rsid w:val="0064776C"/>
    <w:rsid w:val="00662BAF"/>
    <w:rsid w:val="006649F9"/>
    <w:rsid w:val="00693AC3"/>
    <w:rsid w:val="0069468E"/>
    <w:rsid w:val="006A4EE4"/>
    <w:rsid w:val="006C7B2C"/>
    <w:rsid w:val="0070187C"/>
    <w:rsid w:val="00724AC7"/>
    <w:rsid w:val="00727180"/>
    <w:rsid w:val="00771DF7"/>
    <w:rsid w:val="00793473"/>
    <w:rsid w:val="007A6B5C"/>
    <w:rsid w:val="007A7ECD"/>
    <w:rsid w:val="007B126C"/>
    <w:rsid w:val="007B1EA2"/>
    <w:rsid w:val="007C180C"/>
    <w:rsid w:val="007D53E9"/>
    <w:rsid w:val="007D771E"/>
    <w:rsid w:val="007E4EE7"/>
    <w:rsid w:val="007E6D85"/>
    <w:rsid w:val="00800EAA"/>
    <w:rsid w:val="00817E68"/>
    <w:rsid w:val="008310F7"/>
    <w:rsid w:val="008414F4"/>
    <w:rsid w:val="00872689"/>
    <w:rsid w:val="00877757"/>
    <w:rsid w:val="00882A04"/>
    <w:rsid w:val="00893C56"/>
    <w:rsid w:val="008A0164"/>
    <w:rsid w:val="008A6CD9"/>
    <w:rsid w:val="008B49E9"/>
    <w:rsid w:val="008D4D6D"/>
    <w:rsid w:val="008E2033"/>
    <w:rsid w:val="008E2AC8"/>
    <w:rsid w:val="008E5628"/>
    <w:rsid w:val="008F470C"/>
    <w:rsid w:val="009064E8"/>
    <w:rsid w:val="00907C32"/>
    <w:rsid w:val="00931653"/>
    <w:rsid w:val="00942AAD"/>
    <w:rsid w:val="0098094C"/>
    <w:rsid w:val="009878B7"/>
    <w:rsid w:val="009C26D5"/>
    <w:rsid w:val="009C6FB4"/>
    <w:rsid w:val="009F1CEC"/>
    <w:rsid w:val="009F5AA2"/>
    <w:rsid w:val="009F77A8"/>
    <w:rsid w:val="00A047AF"/>
    <w:rsid w:val="00A3696B"/>
    <w:rsid w:val="00A73BED"/>
    <w:rsid w:val="00A76A8A"/>
    <w:rsid w:val="00A900CB"/>
    <w:rsid w:val="00A93068"/>
    <w:rsid w:val="00AD1159"/>
    <w:rsid w:val="00AF33BF"/>
    <w:rsid w:val="00B03703"/>
    <w:rsid w:val="00B114CF"/>
    <w:rsid w:val="00B30206"/>
    <w:rsid w:val="00B54015"/>
    <w:rsid w:val="00B67FBE"/>
    <w:rsid w:val="00B70128"/>
    <w:rsid w:val="00B83224"/>
    <w:rsid w:val="00B923E7"/>
    <w:rsid w:val="00BA5E99"/>
    <w:rsid w:val="00BB6E9C"/>
    <w:rsid w:val="00BD53CD"/>
    <w:rsid w:val="00BE1B8A"/>
    <w:rsid w:val="00C15F3D"/>
    <w:rsid w:val="00C27DF1"/>
    <w:rsid w:val="00C3395D"/>
    <w:rsid w:val="00C3698A"/>
    <w:rsid w:val="00C5153E"/>
    <w:rsid w:val="00C5520E"/>
    <w:rsid w:val="00C73B83"/>
    <w:rsid w:val="00C77359"/>
    <w:rsid w:val="00C86AF6"/>
    <w:rsid w:val="00CA4604"/>
    <w:rsid w:val="00CB3F6E"/>
    <w:rsid w:val="00CC4439"/>
    <w:rsid w:val="00CD681D"/>
    <w:rsid w:val="00CD7CCA"/>
    <w:rsid w:val="00D10875"/>
    <w:rsid w:val="00D336DD"/>
    <w:rsid w:val="00D41269"/>
    <w:rsid w:val="00D4662F"/>
    <w:rsid w:val="00D61129"/>
    <w:rsid w:val="00D80369"/>
    <w:rsid w:val="00D86325"/>
    <w:rsid w:val="00DA37CE"/>
    <w:rsid w:val="00DD464F"/>
    <w:rsid w:val="00E02B39"/>
    <w:rsid w:val="00E36E4A"/>
    <w:rsid w:val="00E44827"/>
    <w:rsid w:val="00E50236"/>
    <w:rsid w:val="00E618F5"/>
    <w:rsid w:val="00E75823"/>
    <w:rsid w:val="00E8066F"/>
    <w:rsid w:val="00ED22FC"/>
    <w:rsid w:val="00ED50AD"/>
    <w:rsid w:val="00EE7F58"/>
    <w:rsid w:val="00F00D31"/>
    <w:rsid w:val="00F13EC5"/>
    <w:rsid w:val="00F269D4"/>
    <w:rsid w:val="00F30D12"/>
    <w:rsid w:val="00F35699"/>
    <w:rsid w:val="00F43CA4"/>
    <w:rsid w:val="00F43EC6"/>
    <w:rsid w:val="00F45C7F"/>
    <w:rsid w:val="00F50CCF"/>
    <w:rsid w:val="00F54785"/>
    <w:rsid w:val="00F71B00"/>
    <w:rsid w:val="00F739EA"/>
    <w:rsid w:val="00F83EFA"/>
    <w:rsid w:val="00F8577B"/>
    <w:rsid w:val="00FA141C"/>
    <w:rsid w:val="00FE5B31"/>
    <w:rsid w:val="00FF1B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417E32B-8C7A-42C6-ACFD-1E65EFC86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66F"/>
    <w:rPr>
      <w:rFonts w:eastAsia="SimSun"/>
      <w:lang w:eastAsia="zh-CN"/>
    </w:rPr>
  </w:style>
  <w:style w:type="paragraph" w:styleId="Ttulo4">
    <w:name w:val="heading 4"/>
    <w:basedOn w:val="Normal"/>
    <w:next w:val="Normal"/>
    <w:qFormat/>
    <w:rsid w:val="00E8066F"/>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E8066F"/>
    <w:pPr>
      <w:tabs>
        <w:tab w:val="center" w:pos="4419"/>
        <w:tab w:val="right" w:pos="8838"/>
      </w:tabs>
    </w:pPr>
  </w:style>
  <w:style w:type="paragraph" w:styleId="Rodap">
    <w:name w:val="footer"/>
    <w:basedOn w:val="Normal"/>
    <w:rsid w:val="00E8066F"/>
    <w:pPr>
      <w:tabs>
        <w:tab w:val="center" w:pos="4419"/>
        <w:tab w:val="right" w:pos="8838"/>
      </w:tabs>
    </w:pPr>
  </w:style>
  <w:style w:type="character" w:styleId="Refdenotaderodap">
    <w:name w:val="footnote reference"/>
    <w:aliases w:val="(Ref. de nota al pie),-E Fuﬂnotenzeichen,-E Fuûnotenzeichen,-E Fußnotenzeichen"/>
    <w:semiHidden/>
    <w:rsid w:val="00E8066F"/>
    <w:rPr>
      <w:vertAlign w:val="superscript"/>
    </w:rPr>
  </w:style>
  <w:style w:type="character" w:styleId="Nmerodepgina">
    <w:name w:val="page number"/>
    <w:basedOn w:val="Fontepargpadro"/>
    <w:rsid w:val="00E8066F"/>
  </w:style>
  <w:style w:type="paragraph" w:styleId="TextosemFormatao">
    <w:name w:val="Plain Text"/>
    <w:basedOn w:val="Normal"/>
    <w:rsid w:val="00E8066F"/>
    <w:rPr>
      <w:rFonts w:ascii="Courier New" w:eastAsia="Times New Roman" w:hAnsi="Courier New" w:cs="Wingdings"/>
      <w:lang w:eastAsia="pt-BR"/>
    </w:rPr>
  </w:style>
  <w:style w:type="paragraph" w:styleId="Recuodecorpodetexto">
    <w:name w:val="Body Text Indent"/>
    <w:basedOn w:val="Normal"/>
    <w:rsid w:val="00E8066F"/>
    <w:pPr>
      <w:spacing w:after="120"/>
      <w:ind w:left="283"/>
    </w:pPr>
  </w:style>
  <w:style w:type="character" w:styleId="Hyperlink">
    <w:name w:val="Hyperlink"/>
    <w:rsid w:val="00E8066F"/>
    <w:rPr>
      <w:color w:val="0000FF"/>
      <w:u w:val="single"/>
    </w:rPr>
  </w:style>
  <w:style w:type="paragraph" w:styleId="Textodebalo">
    <w:name w:val="Balloon Text"/>
    <w:basedOn w:val="Normal"/>
    <w:semiHidden/>
    <w:rsid w:val="00E8066F"/>
    <w:rPr>
      <w:rFonts w:ascii="Tahoma" w:hAnsi="Tahoma" w:cs="Tahoma"/>
      <w:sz w:val="16"/>
      <w:szCs w:val="16"/>
    </w:rPr>
  </w:style>
  <w:style w:type="paragraph" w:styleId="Textodenotaderodap">
    <w:name w:val="footnote text"/>
    <w:aliases w:val="Fußnote"/>
    <w:basedOn w:val="Normal"/>
    <w:semiHidden/>
    <w:rsid w:val="00E8066F"/>
    <w:pPr>
      <w:widowControl w:val="0"/>
      <w:suppressAutoHyphens/>
    </w:pPr>
    <w:rPr>
      <w:rFonts w:eastAsia="Times New Roman"/>
      <w:snapToGrid w:val="0"/>
      <w:lang w:val="en-US" w:eastAsia="pt-BR"/>
    </w:rPr>
  </w:style>
  <w:style w:type="paragraph" w:styleId="Corpodetexto">
    <w:name w:val="Body Text"/>
    <w:basedOn w:val="Normal"/>
    <w:rsid w:val="00E8066F"/>
    <w:pPr>
      <w:spacing w:after="120"/>
    </w:pPr>
  </w:style>
  <w:style w:type="character" w:styleId="Forte">
    <w:name w:val="Strong"/>
    <w:qFormat/>
    <w:rsid w:val="00E8066F"/>
    <w:rPr>
      <w:b/>
      <w:bCs/>
    </w:rPr>
  </w:style>
  <w:style w:type="character" w:styleId="Refdecomentrio">
    <w:name w:val="annotation reference"/>
    <w:semiHidden/>
    <w:rsid w:val="00E8066F"/>
    <w:rPr>
      <w:sz w:val="16"/>
      <w:szCs w:val="16"/>
    </w:rPr>
  </w:style>
  <w:style w:type="paragraph" w:styleId="Textodecomentrio">
    <w:name w:val="annotation text"/>
    <w:basedOn w:val="Normal"/>
    <w:semiHidden/>
    <w:rsid w:val="00E8066F"/>
  </w:style>
  <w:style w:type="paragraph" w:styleId="Assuntodocomentrio">
    <w:name w:val="annotation subject"/>
    <w:basedOn w:val="Textodecomentrio"/>
    <w:next w:val="Textodecomentrio"/>
    <w:semiHidden/>
    <w:rsid w:val="00E8066F"/>
    <w:rPr>
      <w:b/>
      <w:bCs/>
    </w:rPr>
  </w:style>
  <w:style w:type="paragraph" w:customStyle="1" w:styleId="Figura">
    <w:name w:val="Figura"/>
    <w:basedOn w:val="Normal"/>
    <w:rsid w:val="00E8066F"/>
    <w:pPr>
      <w:keepNext/>
      <w:keepLines/>
      <w:numPr>
        <w:numId w:val="2"/>
      </w:numPr>
      <w:spacing w:before="40" w:after="40" w:line="300" w:lineRule="auto"/>
      <w:jc w:val="center"/>
    </w:pPr>
    <w:rPr>
      <w:rFonts w:ascii="Arial" w:eastAsia="Times New Roman" w:hAnsi="Arial"/>
      <w:b/>
      <w:color w:val="000080"/>
      <w:sz w:val="24"/>
      <w:szCs w:val="24"/>
      <w:lang w:eastAsia="pt-BR"/>
    </w:rPr>
  </w:style>
  <w:style w:type="paragraph" w:customStyle="1" w:styleId="Paragrafo">
    <w:name w:val="Paragrafo"/>
    <w:rsid w:val="00E8066F"/>
    <w:pPr>
      <w:spacing w:before="60" w:after="60" w:line="300" w:lineRule="auto"/>
      <w:ind w:firstLine="720"/>
      <w:jc w:val="both"/>
    </w:pPr>
    <w:rPr>
      <w:rFonts w:ascii="Arial" w:hAnsi="Arial"/>
      <w:sz w:val="24"/>
      <w:szCs w:val="24"/>
      <w:lang w:val="pt-PT" w:eastAsia="en-US"/>
    </w:rPr>
  </w:style>
  <w:style w:type="paragraph" w:styleId="Recuodecorpodetexto2">
    <w:name w:val="Body Text Indent 2"/>
    <w:basedOn w:val="Normal"/>
    <w:rsid w:val="00E8066F"/>
    <w:pPr>
      <w:keepNext/>
      <w:spacing w:before="240"/>
      <w:ind w:firstLine="360"/>
      <w:jc w:val="both"/>
    </w:pPr>
    <w:rPr>
      <w:rFonts w:ascii="Arial" w:hAnsi="Arial" w:cs="Arial"/>
      <w:bCs/>
    </w:rPr>
  </w:style>
  <w:style w:type="paragraph" w:customStyle="1" w:styleId="Default">
    <w:name w:val="Default"/>
    <w:rsid w:val="009F1CEC"/>
    <w:pPr>
      <w:autoSpaceDE w:val="0"/>
      <w:autoSpaceDN w:val="0"/>
      <w:adjustRightInd w:val="0"/>
    </w:pPr>
    <w:rPr>
      <w:rFonts w:ascii="Calibri" w:hAnsi="Calibri" w:cs="Calibri"/>
      <w:color w:val="000000"/>
      <w:sz w:val="24"/>
      <w:szCs w:val="24"/>
    </w:rPr>
  </w:style>
  <w:style w:type="paragraph" w:styleId="PargrafodaLista">
    <w:name w:val="List Paragraph"/>
    <w:basedOn w:val="Normal"/>
    <w:uiPriority w:val="34"/>
    <w:qFormat/>
    <w:rsid w:val="006A4EE4"/>
    <w:pPr>
      <w:ind w:left="720" w:firstLine="709"/>
      <w:contextualSpacing/>
      <w:jc w:val="both"/>
    </w:pPr>
    <w:rPr>
      <w:rFonts w:eastAsia="Times New Roman"/>
      <w:sz w:val="28"/>
      <w:lang w:eastAsia="pt-BR"/>
    </w:rPr>
  </w:style>
  <w:style w:type="table" w:styleId="Tabelacomgrade">
    <w:name w:val="Table Grid"/>
    <w:basedOn w:val="Tabelanormal"/>
    <w:uiPriority w:val="59"/>
    <w:rsid w:val="0025424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151392">
      <w:bodyDiv w:val="1"/>
      <w:marLeft w:val="0"/>
      <w:marRight w:val="0"/>
      <w:marTop w:val="0"/>
      <w:marBottom w:val="0"/>
      <w:divBdr>
        <w:top w:val="none" w:sz="0" w:space="0" w:color="auto"/>
        <w:left w:val="none" w:sz="0" w:space="0" w:color="auto"/>
        <w:bottom w:val="none" w:sz="0" w:space="0" w:color="auto"/>
        <w:right w:val="none" w:sz="0" w:space="0" w:color="auto"/>
      </w:divBdr>
      <w:divsChild>
        <w:div w:id="1666325147">
          <w:marLeft w:val="0"/>
          <w:marRight w:val="0"/>
          <w:marTop w:val="0"/>
          <w:marBottom w:val="0"/>
          <w:divBdr>
            <w:top w:val="none" w:sz="0" w:space="0" w:color="auto"/>
            <w:left w:val="none" w:sz="0" w:space="0" w:color="auto"/>
            <w:bottom w:val="none" w:sz="0" w:space="0" w:color="auto"/>
            <w:right w:val="none" w:sz="0" w:space="0" w:color="auto"/>
          </w:divBdr>
        </w:div>
      </w:divsChild>
    </w:div>
    <w:div w:id="134462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portal.to.gov.br/tocantins/buriti-do-tocantins/861" TargetMode="External"/><Relationship Id="rId21" Type="http://schemas.openxmlformats.org/officeDocument/2006/relationships/hyperlink" Target="http://portal.to.gov.br/tocantins/bandeirantes-do-tocantins/854" TargetMode="External"/><Relationship Id="rId42" Type="http://schemas.openxmlformats.org/officeDocument/2006/relationships/hyperlink" Target="http://portal.to.gov.br/tocantins/guarai/891" TargetMode="External"/><Relationship Id="rId47" Type="http://schemas.openxmlformats.org/officeDocument/2006/relationships/hyperlink" Target="http://portal.to.gov.br/tocantins/lizarda/904" TargetMode="External"/><Relationship Id="rId63" Type="http://schemas.openxmlformats.org/officeDocument/2006/relationships/hyperlink" Target="http://portal.to.gov.br/tocantins/recursolandia/942" TargetMode="External"/><Relationship Id="rId68" Type="http://schemas.openxmlformats.org/officeDocument/2006/relationships/hyperlink" Target="http://portal.to.gov.br/tocantins/santa-fe-do-araguaia/948" TargetMode="External"/><Relationship Id="rId84" Type="http://schemas.openxmlformats.org/officeDocument/2006/relationships/header" Target="header2.xml"/><Relationship Id="rId16" Type="http://schemas.openxmlformats.org/officeDocument/2006/relationships/hyperlink" Target="http://portal.to.gov.br/tocantins/araguaina/845" TargetMode="External"/><Relationship Id="rId11" Type="http://schemas.openxmlformats.org/officeDocument/2006/relationships/hyperlink" Target="http://portal.to.gov.br/tocantins/angico/840" TargetMode="External"/><Relationship Id="rId32" Type="http://schemas.openxmlformats.org/officeDocument/2006/relationships/hyperlink" Target="http://portal.to.gov.br/tocantins/colinas-do-tocantins/871" TargetMode="External"/><Relationship Id="rId37" Type="http://schemas.openxmlformats.org/officeDocument/2006/relationships/hyperlink" Target="http://portal.to.gov.br/tocantins/esperantina/883" TargetMode="External"/><Relationship Id="rId53" Type="http://schemas.openxmlformats.org/officeDocument/2006/relationships/hyperlink" Target="http://portal.to.gov.br/tocantins/nazare-do-tocantins/915" TargetMode="External"/><Relationship Id="rId58" Type="http://schemas.openxmlformats.org/officeDocument/2006/relationships/hyperlink" Target="http://portal.to.gov.br/tocantins/pedro-afonso/929" TargetMode="External"/><Relationship Id="rId74" Type="http://schemas.openxmlformats.org/officeDocument/2006/relationships/hyperlink" Target="http://portal.to.gov.br/tocantins/tocantinopolis/967" TargetMode="External"/><Relationship Id="rId79" Type="http://schemas.openxmlformats.org/officeDocument/2006/relationships/image" Target="media/image1.jpeg"/><Relationship Id="rId5" Type="http://schemas.openxmlformats.org/officeDocument/2006/relationships/webSettings" Target="webSettings.xml"/><Relationship Id="rId19" Type="http://schemas.openxmlformats.org/officeDocument/2006/relationships/hyperlink" Target="http://portal.to.gov.br/tocantins/axixa-do-tocantins/852" TargetMode="External"/><Relationship Id="rId14" Type="http://schemas.openxmlformats.org/officeDocument/2006/relationships/hyperlink" Target="http://portal.to.gov.br/tocantins/araguana/846" TargetMode="External"/><Relationship Id="rId22" Type="http://schemas.openxmlformats.org/officeDocument/2006/relationships/hyperlink" Target="http://portal.to.gov.br/tocantins/barra-do-ouro/855" TargetMode="External"/><Relationship Id="rId27" Type="http://schemas.openxmlformats.org/officeDocument/2006/relationships/hyperlink" Target="http://portal.to.gov.br/tocantins/cachoeirinha/862" TargetMode="External"/><Relationship Id="rId30" Type="http://schemas.openxmlformats.org/officeDocument/2006/relationships/hyperlink" Target="http://portal.to.gov.br/tocantins/carrasco-bonito/866" TargetMode="External"/><Relationship Id="rId35" Type="http://schemas.openxmlformats.org/officeDocument/2006/relationships/hyperlink" Target="http://portal.to.gov.br/tocantins/darcinopolis/878" TargetMode="External"/><Relationship Id="rId43" Type="http://schemas.openxmlformats.org/officeDocument/2006/relationships/hyperlink" Target="http://portal.to.gov.br/tocantins/itaguatins/895" TargetMode="External"/><Relationship Id="rId48" Type="http://schemas.openxmlformats.org/officeDocument/2006/relationships/hyperlink" Target="http://portal.to.gov.br/tocantins/luzinopolis/905" TargetMode="External"/><Relationship Id="rId56" Type="http://schemas.openxmlformats.org/officeDocument/2006/relationships/hyperlink" Target="http://portal.to.gov.br/tocantins/palmeiras-do-tocantins/924" TargetMode="External"/><Relationship Id="rId64" Type="http://schemas.openxmlformats.org/officeDocument/2006/relationships/hyperlink" Target="http://portal.to.gov.br/tocantins/riachinho/943" TargetMode="External"/><Relationship Id="rId69" Type="http://schemas.openxmlformats.org/officeDocument/2006/relationships/hyperlink" Target="http://portal.to.gov.br/tocantins/santa-maria-do-tocantins/949" TargetMode="External"/><Relationship Id="rId77" Type="http://schemas.openxmlformats.org/officeDocument/2006/relationships/hyperlink" Target="http://portal.to.gov.br/tocantins/wanderlandia/970" TargetMode="External"/><Relationship Id="rId8" Type="http://schemas.openxmlformats.org/officeDocument/2006/relationships/hyperlink" Target="http://portal.to.gov.br/tocantins/abreulandia/834" TargetMode="External"/><Relationship Id="rId51" Type="http://schemas.openxmlformats.org/officeDocument/2006/relationships/hyperlink" Target="http://portal.to.gov.br/tocantins/miranorte/910" TargetMode="External"/><Relationship Id="rId72" Type="http://schemas.openxmlformats.org/officeDocument/2006/relationships/hyperlink" Target="http://portal.to.gov.br/tocantins/sao-sebastiao-do-tocantins/958"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portal.to.gov.br/tocantins/aragominas/842" TargetMode="External"/><Relationship Id="rId17" Type="http://schemas.openxmlformats.org/officeDocument/2006/relationships/hyperlink" Target="http://portal.to.gov.br/tocantins/arapoema/848" TargetMode="External"/><Relationship Id="rId25" Type="http://schemas.openxmlformats.org/officeDocument/2006/relationships/hyperlink" Target="http://portal.to.gov.br/tocantins/brasilandia-do-tocantins/859" TargetMode="External"/><Relationship Id="rId33" Type="http://schemas.openxmlformats.org/officeDocument/2006/relationships/hyperlink" Target="http://portal.to.gov.br/tocantins/colmeia/872" TargetMode="External"/><Relationship Id="rId38" Type="http://schemas.openxmlformats.org/officeDocument/2006/relationships/hyperlink" Target="http://portal.to.gov.br/tocantins/filadelfia/886" TargetMode="External"/><Relationship Id="rId46" Type="http://schemas.openxmlformats.org/officeDocument/2006/relationships/hyperlink" Target="http://portal.to.gov.br/tocantins/juarina/899" TargetMode="External"/><Relationship Id="rId59" Type="http://schemas.openxmlformats.org/officeDocument/2006/relationships/hyperlink" Target="http://portal.to.gov.br/tocantins/pequizeiro/931" TargetMode="External"/><Relationship Id="rId67" Type="http://schemas.openxmlformats.org/officeDocument/2006/relationships/hyperlink" Target="http://portal.to.gov.br/tocantins/sampaio/946" TargetMode="External"/><Relationship Id="rId20" Type="http://schemas.openxmlformats.org/officeDocument/2006/relationships/hyperlink" Target="http://portal.to.gov.br/tocantins/babaculandia/853" TargetMode="External"/><Relationship Id="rId41" Type="http://schemas.openxmlformats.org/officeDocument/2006/relationships/hyperlink" Target="http://portal.to.gov.br/tocantins/goiatins/890" TargetMode="External"/><Relationship Id="rId54" Type="http://schemas.openxmlformats.org/officeDocument/2006/relationships/hyperlink" Target="http://portal.to.gov.br/tocantins/nova-olinda/916" TargetMode="External"/><Relationship Id="rId62" Type="http://schemas.openxmlformats.org/officeDocument/2006/relationships/hyperlink" Target="http://portal.to.gov.br/tocantins/presidente-kennedy/940" TargetMode="External"/><Relationship Id="rId70" Type="http://schemas.openxmlformats.org/officeDocument/2006/relationships/hyperlink" Target="http://portal.to.gov.br/tocantins/sao-bento-do-tocantins/954" TargetMode="External"/><Relationship Id="rId75" Type="http://schemas.openxmlformats.org/officeDocument/2006/relationships/hyperlink" Target="http://portal.to.gov.br/tocantins/tupirama/968" TargetMode="External"/><Relationship Id="rId83" Type="http://schemas.openxmlformats.org/officeDocument/2006/relationships/hyperlink" Target="http://www.seplan.to.gov.br/zee/Atlas_do_Tocantins_2005.pd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ortal.to.gov.br/tocantins/araguatins/847" TargetMode="External"/><Relationship Id="rId23" Type="http://schemas.openxmlformats.org/officeDocument/2006/relationships/hyperlink" Target="http://portal.to.gov.br/tocantins/barrolandia/856" TargetMode="External"/><Relationship Id="rId28" Type="http://schemas.openxmlformats.org/officeDocument/2006/relationships/hyperlink" Target="http://portal.to.gov.br/tocantins/campos-lindos/863" TargetMode="External"/><Relationship Id="rId36" Type="http://schemas.openxmlformats.org/officeDocument/2006/relationships/hyperlink" Target="http://portal.to.gov.br/tocantins/dois-irmaos-do-tocantins/881" TargetMode="External"/><Relationship Id="rId49" Type="http://schemas.openxmlformats.org/officeDocument/2006/relationships/hyperlink" Target="http://portal.to.gov.br/tocantins/maurilandia-do-tocantins/908" TargetMode="External"/><Relationship Id="rId57" Type="http://schemas.openxmlformats.org/officeDocument/2006/relationships/hyperlink" Target="http://portal.to.gov.br/tocantins/pau-d--39-arco/928" TargetMode="External"/><Relationship Id="rId10" Type="http://schemas.openxmlformats.org/officeDocument/2006/relationships/hyperlink" Target="http://portal.to.gov.br/tocantins/ananas/839" TargetMode="External"/><Relationship Id="rId31" Type="http://schemas.openxmlformats.org/officeDocument/2006/relationships/hyperlink" Target="http://portal.to.gov.br/tocantins/centenario/868" TargetMode="External"/><Relationship Id="rId44" Type="http://schemas.openxmlformats.org/officeDocument/2006/relationships/hyperlink" Target="http://portal.to.gov.br/tocantins/itapiratins/896" TargetMode="External"/><Relationship Id="rId52" Type="http://schemas.openxmlformats.org/officeDocument/2006/relationships/hyperlink" Target="http://portal.to.gov.br/tocantins/muricilandia/913" TargetMode="External"/><Relationship Id="rId60" Type="http://schemas.openxmlformats.org/officeDocument/2006/relationships/hyperlink" Target="http://portal.to.gov.br/tocantins/piraque/933" TargetMode="External"/><Relationship Id="rId65" Type="http://schemas.openxmlformats.org/officeDocument/2006/relationships/hyperlink" Target="http://portal.to.gov.br/tocantins/rio-sono/945" TargetMode="External"/><Relationship Id="rId73" Type="http://schemas.openxmlformats.org/officeDocument/2006/relationships/hyperlink" Target="http://portal.to.gov.br/tocantins/sitio-novo-do-tocantins/961" TargetMode="External"/><Relationship Id="rId78" Type="http://schemas.openxmlformats.org/officeDocument/2006/relationships/hyperlink" Target="http://portal.to.gov.br/tocantins/xambioa/971" TargetMode="External"/><Relationship Id="rId81" Type="http://schemas.openxmlformats.org/officeDocument/2006/relationships/footer" Target="footer1.xml"/><Relationship Id="rId8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portal.to.gov.br/tocantins/aguiarnopolis/835" TargetMode="External"/><Relationship Id="rId13" Type="http://schemas.openxmlformats.org/officeDocument/2006/relationships/hyperlink" Target="http://portal.to.gov.br/tocantins/araguacema/843" TargetMode="External"/><Relationship Id="rId18" Type="http://schemas.openxmlformats.org/officeDocument/2006/relationships/hyperlink" Target="http://portal.to.gov.br/tocantins/augustinopolis/850" TargetMode="External"/><Relationship Id="rId39" Type="http://schemas.openxmlformats.org/officeDocument/2006/relationships/hyperlink" Target="http://portal.to.gov.br/tocantins/fortaleza-do-tabocao/888" TargetMode="External"/><Relationship Id="rId34" Type="http://schemas.openxmlformats.org/officeDocument/2006/relationships/hyperlink" Target="http://portal.to.gov.br/tocantins/couto-magalhaes/875" TargetMode="External"/><Relationship Id="rId50" Type="http://schemas.openxmlformats.org/officeDocument/2006/relationships/hyperlink" Target="http://portal.to.gov.br/tocantins/miracema-do-tocantins/909" TargetMode="External"/><Relationship Id="rId55" Type="http://schemas.openxmlformats.org/officeDocument/2006/relationships/hyperlink" Target="http://portal.to.gov.br/tocantins/palmeirante/923" TargetMode="External"/><Relationship Id="rId76" Type="http://schemas.openxmlformats.org/officeDocument/2006/relationships/hyperlink" Target="http://portal.to.gov.br/tocantins/tupiratins/969" TargetMode="External"/><Relationship Id="rId7" Type="http://schemas.openxmlformats.org/officeDocument/2006/relationships/endnotes" Target="endnotes.xml"/><Relationship Id="rId71" Type="http://schemas.openxmlformats.org/officeDocument/2006/relationships/hyperlink" Target="http://portal.to.gov.br/tocantins/sao-miguel-do-tocantins/956" TargetMode="External"/><Relationship Id="rId2" Type="http://schemas.openxmlformats.org/officeDocument/2006/relationships/numbering" Target="numbering.xml"/><Relationship Id="rId29" Type="http://schemas.openxmlformats.org/officeDocument/2006/relationships/hyperlink" Target="http://portal.to.gov.br/tocantins/carmolandia/865" TargetMode="External"/><Relationship Id="rId24" Type="http://schemas.openxmlformats.org/officeDocument/2006/relationships/hyperlink" Target="http://portal.to.gov.br/tocantins/bernardo-sayao/857" TargetMode="External"/><Relationship Id="rId40" Type="http://schemas.openxmlformats.org/officeDocument/2006/relationships/hyperlink" Target="http://portal.to.gov.br/tocantins/goianorte/889" TargetMode="External"/><Relationship Id="rId45" Type="http://schemas.openxmlformats.org/officeDocument/2006/relationships/hyperlink" Target="http://portal.to.gov.br/tocantins/itapora-do-tocantins/897" TargetMode="External"/><Relationship Id="rId66" Type="http://schemas.openxmlformats.org/officeDocument/2006/relationships/hyperlink" Target="http://portal.to.gov.br/tocantins/rio-dos-bois/944" TargetMode="External"/><Relationship Id="rId87" Type="http://schemas.openxmlformats.org/officeDocument/2006/relationships/fontTable" Target="fontTable.xml"/><Relationship Id="rId61" Type="http://schemas.openxmlformats.org/officeDocument/2006/relationships/hyperlink" Target="http://portal.to.gov.br/tocantins/praia-norte/939" TargetMode="External"/><Relationship Id="rId82"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package" Target="embeddings/Documento_do_Microsoft_Word.docx"/><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85FE2-B5F2-4E7B-AFD5-0EDCF01E8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8373</Words>
  <Characters>45218</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Termo de Referência</vt:lpstr>
    </vt:vector>
  </TitlesOfParts>
  <Company/>
  <LinksUpToDate>false</LinksUpToDate>
  <CharactersWithSpaces>53485</CharactersWithSpaces>
  <SharedDoc>false</SharedDoc>
  <HLinks>
    <vt:vector size="432" baseType="variant">
      <vt:variant>
        <vt:i4>1048634</vt:i4>
      </vt:variant>
      <vt:variant>
        <vt:i4>213</vt:i4>
      </vt:variant>
      <vt:variant>
        <vt:i4>0</vt:i4>
      </vt:variant>
      <vt:variant>
        <vt:i4>5</vt:i4>
      </vt:variant>
      <vt:variant>
        <vt:lpwstr>http://www.seplan.to.gov.br/zee/Atlas_do_Tocantins_2005.pdf</vt:lpwstr>
      </vt:variant>
      <vt:variant>
        <vt:lpwstr/>
      </vt:variant>
      <vt:variant>
        <vt:i4>1704016</vt:i4>
      </vt:variant>
      <vt:variant>
        <vt:i4>210</vt:i4>
      </vt:variant>
      <vt:variant>
        <vt:i4>0</vt:i4>
      </vt:variant>
      <vt:variant>
        <vt:i4>5</vt:i4>
      </vt:variant>
      <vt:variant>
        <vt:lpwstr>http://portal.to.gov.br/tocantins/xambioa/971</vt:lpwstr>
      </vt:variant>
      <vt:variant>
        <vt:lpwstr/>
      </vt:variant>
      <vt:variant>
        <vt:i4>7602299</vt:i4>
      </vt:variant>
      <vt:variant>
        <vt:i4>207</vt:i4>
      </vt:variant>
      <vt:variant>
        <vt:i4>0</vt:i4>
      </vt:variant>
      <vt:variant>
        <vt:i4>5</vt:i4>
      </vt:variant>
      <vt:variant>
        <vt:lpwstr>http://portal.to.gov.br/tocantins/wanderlandia/970</vt:lpwstr>
      </vt:variant>
      <vt:variant>
        <vt:lpwstr/>
      </vt:variant>
      <vt:variant>
        <vt:i4>589825</vt:i4>
      </vt:variant>
      <vt:variant>
        <vt:i4>204</vt:i4>
      </vt:variant>
      <vt:variant>
        <vt:i4>0</vt:i4>
      </vt:variant>
      <vt:variant>
        <vt:i4>5</vt:i4>
      </vt:variant>
      <vt:variant>
        <vt:lpwstr>http://portal.to.gov.br/tocantins/tupiratins/969</vt:lpwstr>
      </vt:variant>
      <vt:variant>
        <vt:lpwstr/>
      </vt:variant>
      <vt:variant>
        <vt:i4>7536758</vt:i4>
      </vt:variant>
      <vt:variant>
        <vt:i4>201</vt:i4>
      </vt:variant>
      <vt:variant>
        <vt:i4>0</vt:i4>
      </vt:variant>
      <vt:variant>
        <vt:i4>5</vt:i4>
      </vt:variant>
      <vt:variant>
        <vt:lpwstr>http://portal.to.gov.br/tocantins/tupirama/968</vt:lpwstr>
      </vt:variant>
      <vt:variant>
        <vt:lpwstr/>
      </vt:variant>
      <vt:variant>
        <vt:i4>1769492</vt:i4>
      </vt:variant>
      <vt:variant>
        <vt:i4>198</vt:i4>
      </vt:variant>
      <vt:variant>
        <vt:i4>0</vt:i4>
      </vt:variant>
      <vt:variant>
        <vt:i4>5</vt:i4>
      </vt:variant>
      <vt:variant>
        <vt:lpwstr>http://portal.to.gov.br/tocantins/tocantinopolis/967</vt:lpwstr>
      </vt:variant>
      <vt:variant>
        <vt:lpwstr/>
      </vt:variant>
      <vt:variant>
        <vt:i4>458780</vt:i4>
      </vt:variant>
      <vt:variant>
        <vt:i4>195</vt:i4>
      </vt:variant>
      <vt:variant>
        <vt:i4>0</vt:i4>
      </vt:variant>
      <vt:variant>
        <vt:i4>5</vt:i4>
      </vt:variant>
      <vt:variant>
        <vt:lpwstr>http://portal.to.gov.br/tocantins/sitio-novo-do-tocantins/961</vt:lpwstr>
      </vt:variant>
      <vt:variant>
        <vt:lpwstr/>
      </vt:variant>
      <vt:variant>
        <vt:i4>1245259</vt:i4>
      </vt:variant>
      <vt:variant>
        <vt:i4>192</vt:i4>
      </vt:variant>
      <vt:variant>
        <vt:i4>0</vt:i4>
      </vt:variant>
      <vt:variant>
        <vt:i4>5</vt:i4>
      </vt:variant>
      <vt:variant>
        <vt:lpwstr>http://portal.to.gov.br/tocantins/sao-sebastiao-do-tocantins/958</vt:lpwstr>
      </vt:variant>
      <vt:variant>
        <vt:lpwstr/>
      </vt:variant>
      <vt:variant>
        <vt:i4>1376287</vt:i4>
      </vt:variant>
      <vt:variant>
        <vt:i4>189</vt:i4>
      </vt:variant>
      <vt:variant>
        <vt:i4>0</vt:i4>
      </vt:variant>
      <vt:variant>
        <vt:i4>5</vt:i4>
      </vt:variant>
      <vt:variant>
        <vt:lpwstr>http://portal.to.gov.br/tocantins/sao-miguel-do-tocantins/956</vt:lpwstr>
      </vt:variant>
      <vt:variant>
        <vt:lpwstr/>
      </vt:variant>
      <vt:variant>
        <vt:i4>2031692</vt:i4>
      </vt:variant>
      <vt:variant>
        <vt:i4>186</vt:i4>
      </vt:variant>
      <vt:variant>
        <vt:i4>0</vt:i4>
      </vt:variant>
      <vt:variant>
        <vt:i4>5</vt:i4>
      </vt:variant>
      <vt:variant>
        <vt:lpwstr>http://portal.to.gov.br/tocantins/sao-bento-do-tocantins/954</vt:lpwstr>
      </vt:variant>
      <vt:variant>
        <vt:lpwstr/>
      </vt:variant>
      <vt:variant>
        <vt:i4>8323120</vt:i4>
      </vt:variant>
      <vt:variant>
        <vt:i4>183</vt:i4>
      </vt:variant>
      <vt:variant>
        <vt:i4>0</vt:i4>
      </vt:variant>
      <vt:variant>
        <vt:i4>5</vt:i4>
      </vt:variant>
      <vt:variant>
        <vt:lpwstr>http://portal.to.gov.br/tocantins/santa-maria-do-tocantins/949</vt:lpwstr>
      </vt:variant>
      <vt:variant>
        <vt:lpwstr/>
      </vt:variant>
      <vt:variant>
        <vt:i4>7209003</vt:i4>
      </vt:variant>
      <vt:variant>
        <vt:i4>180</vt:i4>
      </vt:variant>
      <vt:variant>
        <vt:i4>0</vt:i4>
      </vt:variant>
      <vt:variant>
        <vt:i4>5</vt:i4>
      </vt:variant>
      <vt:variant>
        <vt:lpwstr>http://portal.to.gov.br/tocantins/santa-fe-do-araguaia/948</vt:lpwstr>
      </vt:variant>
      <vt:variant>
        <vt:lpwstr/>
      </vt:variant>
      <vt:variant>
        <vt:i4>852061</vt:i4>
      </vt:variant>
      <vt:variant>
        <vt:i4>177</vt:i4>
      </vt:variant>
      <vt:variant>
        <vt:i4>0</vt:i4>
      </vt:variant>
      <vt:variant>
        <vt:i4>5</vt:i4>
      </vt:variant>
      <vt:variant>
        <vt:lpwstr>http://portal.to.gov.br/tocantins/sampaio/946</vt:lpwstr>
      </vt:variant>
      <vt:variant>
        <vt:lpwstr/>
      </vt:variant>
      <vt:variant>
        <vt:i4>7929966</vt:i4>
      </vt:variant>
      <vt:variant>
        <vt:i4>174</vt:i4>
      </vt:variant>
      <vt:variant>
        <vt:i4>0</vt:i4>
      </vt:variant>
      <vt:variant>
        <vt:i4>5</vt:i4>
      </vt:variant>
      <vt:variant>
        <vt:lpwstr>http://portal.to.gov.br/tocantins/rio-dos-bois/944</vt:lpwstr>
      </vt:variant>
      <vt:variant>
        <vt:lpwstr/>
      </vt:variant>
      <vt:variant>
        <vt:i4>2490479</vt:i4>
      </vt:variant>
      <vt:variant>
        <vt:i4>171</vt:i4>
      </vt:variant>
      <vt:variant>
        <vt:i4>0</vt:i4>
      </vt:variant>
      <vt:variant>
        <vt:i4>5</vt:i4>
      </vt:variant>
      <vt:variant>
        <vt:lpwstr>http://portal.to.gov.br/tocantins/rio-sono/945</vt:lpwstr>
      </vt:variant>
      <vt:variant>
        <vt:lpwstr/>
      </vt:variant>
      <vt:variant>
        <vt:i4>8257591</vt:i4>
      </vt:variant>
      <vt:variant>
        <vt:i4>168</vt:i4>
      </vt:variant>
      <vt:variant>
        <vt:i4>0</vt:i4>
      </vt:variant>
      <vt:variant>
        <vt:i4>5</vt:i4>
      </vt:variant>
      <vt:variant>
        <vt:lpwstr>http://portal.to.gov.br/tocantins/riachinho/943</vt:lpwstr>
      </vt:variant>
      <vt:variant>
        <vt:lpwstr/>
      </vt:variant>
      <vt:variant>
        <vt:i4>8192037</vt:i4>
      </vt:variant>
      <vt:variant>
        <vt:i4>165</vt:i4>
      </vt:variant>
      <vt:variant>
        <vt:i4>0</vt:i4>
      </vt:variant>
      <vt:variant>
        <vt:i4>5</vt:i4>
      </vt:variant>
      <vt:variant>
        <vt:lpwstr>http://portal.to.gov.br/tocantins/recursolandia/942</vt:lpwstr>
      </vt:variant>
      <vt:variant>
        <vt:lpwstr/>
      </vt:variant>
      <vt:variant>
        <vt:i4>1048640</vt:i4>
      </vt:variant>
      <vt:variant>
        <vt:i4>162</vt:i4>
      </vt:variant>
      <vt:variant>
        <vt:i4>0</vt:i4>
      </vt:variant>
      <vt:variant>
        <vt:i4>5</vt:i4>
      </vt:variant>
      <vt:variant>
        <vt:lpwstr>http://portal.to.gov.br/tocantins/presidente-kennedy/940</vt:lpwstr>
      </vt:variant>
      <vt:variant>
        <vt:lpwstr/>
      </vt:variant>
      <vt:variant>
        <vt:i4>6225988</vt:i4>
      </vt:variant>
      <vt:variant>
        <vt:i4>159</vt:i4>
      </vt:variant>
      <vt:variant>
        <vt:i4>0</vt:i4>
      </vt:variant>
      <vt:variant>
        <vt:i4>5</vt:i4>
      </vt:variant>
      <vt:variant>
        <vt:lpwstr>http://portal.to.gov.br/tocantins/praia-norte/939</vt:lpwstr>
      </vt:variant>
      <vt:variant>
        <vt:lpwstr/>
      </vt:variant>
      <vt:variant>
        <vt:i4>983131</vt:i4>
      </vt:variant>
      <vt:variant>
        <vt:i4>156</vt:i4>
      </vt:variant>
      <vt:variant>
        <vt:i4>0</vt:i4>
      </vt:variant>
      <vt:variant>
        <vt:i4>5</vt:i4>
      </vt:variant>
      <vt:variant>
        <vt:lpwstr>http://portal.to.gov.br/tocantins/piraque/933</vt:lpwstr>
      </vt:variant>
      <vt:variant>
        <vt:lpwstr/>
      </vt:variant>
      <vt:variant>
        <vt:i4>655383</vt:i4>
      </vt:variant>
      <vt:variant>
        <vt:i4>153</vt:i4>
      </vt:variant>
      <vt:variant>
        <vt:i4>0</vt:i4>
      </vt:variant>
      <vt:variant>
        <vt:i4>5</vt:i4>
      </vt:variant>
      <vt:variant>
        <vt:lpwstr>http://portal.to.gov.br/tocantins/pequizeiro/931</vt:lpwstr>
      </vt:variant>
      <vt:variant>
        <vt:lpwstr/>
      </vt:variant>
      <vt:variant>
        <vt:i4>3342447</vt:i4>
      </vt:variant>
      <vt:variant>
        <vt:i4>150</vt:i4>
      </vt:variant>
      <vt:variant>
        <vt:i4>0</vt:i4>
      </vt:variant>
      <vt:variant>
        <vt:i4>5</vt:i4>
      </vt:variant>
      <vt:variant>
        <vt:lpwstr>http://portal.to.gov.br/tocantins/pedro-afonso/929</vt:lpwstr>
      </vt:variant>
      <vt:variant>
        <vt:lpwstr/>
      </vt:variant>
      <vt:variant>
        <vt:i4>851998</vt:i4>
      </vt:variant>
      <vt:variant>
        <vt:i4>147</vt:i4>
      </vt:variant>
      <vt:variant>
        <vt:i4>0</vt:i4>
      </vt:variant>
      <vt:variant>
        <vt:i4>5</vt:i4>
      </vt:variant>
      <vt:variant>
        <vt:lpwstr>http://portal.to.gov.br/tocantins/pau-d--39-arco/928</vt:lpwstr>
      </vt:variant>
      <vt:variant>
        <vt:lpwstr/>
      </vt:variant>
      <vt:variant>
        <vt:i4>4587596</vt:i4>
      </vt:variant>
      <vt:variant>
        <vt:i4>144</vt:i4>
      </vt:variant>
      <vt:variant>
        <vt:i4>0</vt:i4>
      </vt:variant>
      <vt:variant>
        <vt:i4>5</vt:i4>
      </vt:variant>
      <vt:variant>
        <vt:lpwstr>http://portal.to.gov.br/tocantins/palmeiras-do-tocantins/924</vt:lpwstr>
      </vt:variant>
      <vt:variant>
        <vt:lpwstr/>
      </vt:variant>
      <vt:variant>
        <vt:i4>196685</vt:i4>
      </vt:variant>
      <vt:variant>
        <vt:i4>141</vt:i4>
      </vt:variant>
      <vt:variant>
        <vt:i4>0</vt:i4>
      </vt:variant>
      <vt:variant>
        <vt:i4>5</vt:i4>
      </vt:variant>
      <vt:variant>
        <vt:lpwstr>http://portal.to.gov.br/tocantins/palmeirante/923</vt:lpwstr>
      </vt:variant>
      <vt:variant>
        <vt:lpwstr/>
      </vt:variant>
      <vt:variant>
        <vt:i4>1835035</vt:i4>
      </vt:variant>
      <vt:variant>
        <vt:i4>138</vt:i4>
      </vt:variant>
      <vt:variant>
        <vt:i4>0</vt:i4>
      </vt:variant>
      <vt:variant>
        <vt:i4>5</vt:i4>
      </vt:variant>
      <vt:variant>
        <vt:lpwstr>http://portal.to.gov.br/tocantins/nova-olinda/916</vt:lpwstr>
      </vt:variant>
      <vt:variant>
        <vt:lpwstr/>
      </vt:variant>
      <vt:variant>
        <vt:i4>4718602</vt:i4>
      </vt:variant>
      <vt:variant>
        <vt:i4>135</vt:i4>
      </vt:variant>
      <vt:variant>
        <vt:i4>0</vt:i4>
      </vt:variant>
      <vt:variant>
        <vt:i4>5</vt:i4>
      </vt:variant>
      <vt:variant>
        <vt:lpwstr>http://portal.to.gov.br/tocantins/nazare-do-tocantins/915</vt:lpwstr>
      </vt:variant>
      <vt:variant>
        <vt:lpwstr/>
      </vt:variant>
      <vt:variant>
        <vt:i4>7667837</vt:i4>
      </vt:variant>
      <vt:variant>
        <vt:i4>132</vt:i4>
      </vt:variant>
      <vt:variant>
        <vt:i4>0</vt:i4>
      </vt:variant>
      <vt:variant>
        <vt:i4>5</vt:i4>
      </vt:variant>
      <vt:variant>
        <vt:lpwstr>http://portal.to.gov.br/tocantins/muricilandia/913</vt:lpwstr>
      </vt:variant>
      <vt:variant>
        <vt:lpwstr/>
      </vt:variant>
      <vt:variant>
        <vt:i4>6488107</vt:i4>
      </vt:variant>
      <vt:variant>
        <vt:i4>129</vt:i4>
      </vt:variant>
      <vt:variant>
        <vt:i4>0</vt:i4>
      </vt:variant>
      <vt:variant>
        <vt:i4>5</vt:i4>
      </vt:variant>
      <vt:variant>
        <vt:lpwstr>http://portal.to.gov.br/tocantins/miranorte/910</vt:lpwstr>
      </vt:variant>
      <vt:variant>
        <vt:lpwstr/>
      </vt:variant>
      <vt:variant>
        <vt:i4>2097277</vt:i4>
      </vt:variant>
      <vt:variant>
        <vt:i4>126</vt:i4>
      </vt:variant>
      <vt:variant>
        <vt:i4>0</vt:i4>
      </vt:variant>
      <vt:variant>
        <vt:i4>5</vt:i4>
      </vt:variant>
      <vt:variant>
        <vt:lpwstr>http://portal.to.gov.br/tocantins/miracema-do-tocantins/909</vt:lpwstr>
      </vt:variant>
      <vt:variant>
        <vt:lpwstr/>
      </vt:variant>
      <vt:variant>
        <vt:i4>3538979</vt:i4>
      </vt:variant>
      <vt:variant>
        <vt:i4>123</vt:i4>
      </vt:variant>
      <vt:variant>
        <vt:i4>0</vt:i4>
      </vt:variant>
      <vt:variant>
        <vt:i4>5</vt:i4>
      </vt:variant>
      <vt:variant>
        <vt:lpwstr>http://portal.to.gov.br/tocantins/maurilandia-do-tocantins/908</vt:lpwstr>
      </vt:variant>
      <vt:variant>
        <vt:lpwstr/>
      </vt:variant>
      <vt:variant>
        <vt:i4>262234</vt:i4>
      </vt:variant>
      <vt:variant>
        <vt:i4>120</vt:i4>
      </vt:variant>
      <vt:variant>
        <vt:i4>0</vt:i4>
      </vt:variant>
      <vt:variant>
        <vt:i4>5</vt:i4>
      </vt:variant>
      <vt:variant>
        <vt:lpwstr>http://portal.to.gov.br/tocantins/luzinopolis/905</vt:lpwstr>
      </vt:variant>
      <vt:variant>
        <vt:lpwstr/>
      </vt:variant>
      <vt:variant>
        <vt:i4>1900616</vt:i4>
      </vt:variant>
      <vt:variant>
        <vt:i4>117</vt:i4>
      </vt:variant>
      <vt:variant>
        <vt:i4>0</vt:i4>
      </vt:variant>
      <vt:variant>
        <vt:i4>5</vt:i4>
      </vt:variant>
      <vt:variant>
        <vt:lpwstr>http://portal.to.gov.br/tocantins/lizarda/904</vt:lpwstr>
      </vt:variant>
      <vt:variant>
        <vt:lpwstr/>
      </vt:variant>
      <vt:variant>
        <vt:i4>1114191</vt:i4>
      </vt:variant>
      <vt:variant>
        <vt:i4>114</vt:i4>
      </vt:variant>
      <vt:variant>
        <vt:i4>0</vt:i4>
      </vt:variant>
      <vt:variant>
        <vt:i4>5</vt:i4>
      </vt:variant>
      <vt:variant>
        <vt:lpwstr>http://portal.to.gov.br/tocantins/juarina/899</vt:lpwstr>
      </vt:variant>
      <vt:variant>
        <vt:lpwstr/>
      </vt:variant>
      <vt:variant>
        <vt:i4>3539001</vt:i4>
      </vt:variant>
      <vt:variant>
        <vt:i4>111</vt:i4>
      </vt:variant>
      <vt:variant>
        <vt:i4>0</vt:i4>
      </vt:variant>
      <vt:variant>
        <vt:i4>5</vt:i4>
      </vt:variant>
      <vt:variant>
        <vt:lpwstr>http://portal.to.gov.br/tocantins/itapora-do-tocantins/897</vt:lpwstr>
      </vt:variant>
      <vt:variant>
        <vt:lpwstr/>
      </vt:variant>
      <vt:variant>
        <vt:i4>1310806</vt:i4>
      </vt:variant>
      <vt:variant>
        <vt:i4>108</vt:i4>
      </vt:variant>
      <vt:variant>
        <vt:i4>0</vt:i4>
      </vt:variant>
      <vt:variant>
        <vt:i4>5</vt:i4>
      </vt:variant>
      <vt:variant>
        <vt:lpwstr>http://portal.to.gov.br/tocantins/itapiratins/896</vt:lpwstr>
      </vt:variant>
      <vt:variant>
        <vt:lpwstr/>
      </vt:variant>
      <vt:variant>
        <vt:i4>720901</vt:i4>
      </vt:variant>
      <vt:variant>
        <vt:i4>105</vt:i4>
      </vt:variant>
      <vt:variant>
        <vt:i4>0</vt:i4>
      </vt:variant>
      <vt:variant>
        <vt:i4>5</vt:i4>
      </vt:variant>
      <vt:variant>
        <vt:lpwstr>http://portal.to.gov.br/tocantins/itaguatins/895</vt:lpwstr>
      </vt:variant>
      <vt:variant>
        <vt:lpwstr/>
      </vt:variant>
      <vt:variant>
        <vt:i4>589829</vt:i4>
      </vt:variant>
      <vt:variant>
        <vt:i4>102</vt:i4>
      </vt:variant>
      <vt:variant>
        <vt:i4>0</vt:i4>
      </vt:variant>
      <vt:variant>
        <vt:i4>5</vt:i4>
      </vt:variant>
      <vt:variant>
        <vt:lpwstr>http://portal.to.gov.br/tocantins/guarai/891</vt:lpwstr>
      </vt:variant>
      <vt:variant>
        <vt:lpwstr/>
      </vt:variant>
      <vt:variant>
        <vt:i4>7471222</vt:i4>
      </vt:variant>
      <vt:variant>
        <vt:i4>99</vt:i4>
      </vt:variant>
      <vt:variant>
        <vt:i4>0</vt:i4>
      </vt:variant>
      <vt:variant>
        <vt:i4>5</vt:i4>
      </vt:variant>
      <vt:variant>
        <vt:lpwstr>http://portal.to.gov.br/tocantins/goiatins/890</vt:lpwstr>
      </vt:variant>
      <vt:variant>
        <vt:lpwstr/>
      </vt:variant>
      <vt:variant>
        <vt:i4>7077947</vt:i4>
      </vt:variant>
      <vt:variant>
        <vt:i4>96</vt:i4>
      </vt:variant>
      <vt:variant>
        <vt:i4>0</vt:i4>
      </vt:variant>
      <vt:variant>
        <vt:i4>5</vt:i4>
      </vt:variant>
      <vt:variant>
        <vt:lpwstr>http://portal.to.gov.br/tocantins/goianorte/889</vt:lpwstr>
      </vt:variant>
      <vt:variant>
        <vt:lpwstr/>
      </vt:variant>
      <vt:variant>
        <vt:i4>3866676</vt:i4>
      </vt:variant>
      <vt:variant>
        <vt:i4>93</vt:i4>
      </vt:variant>
      <vt:variant>
        <vt:i4>0</vt:i4>
      </vt:variant>
      <vt:variant>
        <vt:i4>5</vt:i4>
      </vt:variant>
      <vt:variant>
        <vt:lpwstr>http://portal.to.gov.br/tocantins/fortaleza-do-tabocao/888</vt:lpwstr>
      </vt:variant>
      <vt:variant>
        <vt:lpwstr/>
      </vt:variant>
      <vt:variant>
        <vt:i4>655368</vt:i4>
      </vt:variant>
      <vt:variant>
        <vt:i4>90</vt:i4>
      </vt:variant>
      <vt:variant>
        <vt:i4>0</vt:i4>
      </vt:variant>
      <vt:variant>
        <vt:i4>5</vt:i4>
      </vt:variant>
      <vt:variant>
        <vt:lpwstr>http://portal.to.gov.br/tocantins/filadelfia/886</vt:lpwstr>
      </vt:variant>
      <vt:variant>
        <vt:lpwstr/>
      </vt:variant>
      <vt:variant>
        <vt:i4>1310797</vt:i4>
      </vt:variant>
      <vt:variant>
        <vt:i4>87</vt:i4>
      </vt:variant>
      <vt:variant>
        <vt:i4>0</vt:i4>
      </vt:variant>
      <vt:variant>
        <vt:i4>5</vt:i4>
      </vt:variant>
      <vt:variant>
        <vt:lpwstr>http://portal.to.gov.br/tocantins/esperantina/883</vt:lpwstr>
      </vt:variant>
      <vt:variant>
        <vt:lpwstr/>
      </vt:variant>
      <vt:variant>
        <vt:i4>3211390</vt:i4>
      </vt:variant>
      <vt:variant>
        <vt:i4>84</vt:i4>
      </vt:variant>
      <vt:variant>
        <vt:i4>0</vt:i4>
      </vt:variant>
      <vt:variant>
        <vt:i4>5</vt:i4>
      </vt:variant>
      <vt:variant>
        <vt:lpwstr>http://portal.to.gov.br/tocantins/dois-irmaos-do-tocantins/881</vt:lpwstr>
      </vt:variant>
      <vt:variant>
        <vt:lpwstr/>
      </vt:variant>
      <vt:variant>
        <vt:i4>7143546</vt:i4>
      </vt:variant>
      <vt:variant>
        <vt:i4>81</vt:i4>
      </vt:variant>
      <vt:variant>
        <vt:i4>0</vt:i4>
      </vt:variant>
      <vt:variant>
        <vt:i4>5</vt:i4>
      </vt:variant>
      <vt:variant>
        <vt:lpwstr>http://portal.to.gov.br/tocantins/darcinopolis/878</vt:lpwstr>
      </vt:variant>
      <vt:variant>
        <vt:lpwstr/>
      </vt:variant>
      <vt:variant>
        <vt:i4>5046337</vt:i4>
      </vt:variant>
      <vt:variant>
        <vt:i4>78</vt:i4>
      </vt:variant>
      <vt:variant>
        <vt:i4>0</vt:i4>
      </vt:variant>
      <vt:variant>
        <vt:i4>5</vt:i4>
      </vt:variant>
      <vt:variant>
        <vt:lpwstr>http://portal.to.gov.br/tocantins/couto-magalhaes/875</vt:lpwstr>
      </vt:variant>
      <vt:variant>
        <vt:lpwstr/>
      </vt:variant>
      <vt:variant>
        <vt:i4>1900615</vt:i4>
      </vt:variant>
      <vt:variant>
        <vt:i4>75</vt:i4>
      </vt:variant>
      <vt:variant>
        <vt:i4>0</vt:i4>
      </vt:variant>
      <vt:variant>
        <vt:i4>5</vt:i4>
      </vt:variant>
      <vt:variant>
        <vt:lpwstr>http://portal.to.gov.br/tocantins/colmeia/872</vt:lpwstr>
      </vt:variant>
      <vt:variant>
        <vt:lpwstr/>
      </vt:variant>
      <vt:variant>
        <vt:i4>2162723</vt:i4>
      </vt:variant>
      <vt:variant>
        <vt:i4>72</vt:i4>
      </vt:variant>
      <vt:variant>
        <vt:i4>0</vt:i4>
      </vt:variant>
      <vt:variant>
        <vt:i4>5</vt:i4>
      </vt:variant>
      <vt:variant>
        <vt:lpwstr>http://portal.to.gov.br/tocantins/colinas-do-tocantins/871</vt:lpwstr>
      </vt:variant>
      <vt:variant>
        <vt:lpwstr/>
      </vt:variant>
      <vt:variant>
        <vt:i4>786445</vt:i4>
      </vt:variant>
      <vt:variant>
        <vt:i4>69</vt:i4>
      </vt:variant>
      <vt:variant>
        <vt:i4>0</vt:i4>
      </vt:variant>
      <vt:variant>
        <vt:i4>5</vt:i4>
      </vt:variant>
      <vt:variant>
        <vt:lpwstr>http://portal.to.gov.br/tocantins/centenario/868</vt:lpwstr>
      </vt:variant>
      <vt:variant>
        <vt:lpwstr/>
      </vt:variant>
      <vt:variant>
        <vt:i4>27</vt:i4>
      </vt:variant>
      <vt:variant>
        <vt:i4>66</vt:i4>
      </vt:variant>
      <vt:variant>
        <vt:i4>0</vt:i4>
      </vt:variant>
      <vt:variant>
        <vt:i4>5</vt:i4>
      </vt:variant>
      <vt:variant>
        <vt:lpwstr>http://portal.to.gov.br/tocantins/carrasco-bonito/866</vt:lpwstr>
      </vt:variant>
      <vt:variant>
        <vt:lpwstr/>
      </vt:variant>
      <vt:variant>
        <vt:i4>1048662</vt:i4>
      </vt:variant>
      <vt:variant>
        <vt:i4>63</vt:i4>
      </vt:variant>
      <vt:variant>
        <vt:i4>0</vt:i4>
      </vt:variant>
      <vt:variant>
        <vt:i4>5</vt:i4>
      </vt:variant>
      <vt:variant>
        <vt:lpwstr>http://portal.to.gov.br/tocantins/carmolandia/865</vt:lpwstr>
      </vt:variant>
      <vt:variant>
        <vt:lpwstr/>
      </vt:variant>
      <vt:variant>
        <vt:i4>7864446</vt:i4>
      </vt:variant>
      <vt:variant>
        <vt:i4>60</vt:i4>
      </vt:variant>
      <vt:variant>
        <vt:i4>0</vt:i4>
      </vt:variant>
      <vt:variant>
        <vt:i4>5</vt:i4>
      </vt:variant>
      <vt:variant>
        <vt:lpwstr>http://portal.to.gov.br/tocantins/campos-lindos/863</vt:lpwstr>
      </vt:variant>
      <vt:variant>
        <vt:lpwstr/>
      </vt:variant>
      <vt:variant>
        <vt:i4>7667818</vt:i4>
      </vt:variant>
      <vt:variant>
        <vt:i4>57</vt:i4>
      </vt:variant>
      <vt:variant>
        <vt:i4>0</vt:i4>
      </vt:variant>
      <vt:variant>
        <vt:i4>5</vt:i4>
      </vt:variant>
      <vt:variant>
        <vt:lpwstr>http://portal.to.gov.br/tocantins/cachoeirinha/862</vt:lpwstr>
      </vt:variant>
      <vt:variant>
        <vt:lpwstr/>
      </vt:variant>
      <vt:variant>
        <vt:i4>6225929</vt:i4>
      </vt:variant>
      <vt:variant>
        <vt:i4>54</vt:i4>
      </vt:variant>
      <vt:variant>
        <vt:i4>0</vt:i4>
      </vt:variant>
      <vt:variant>
        <vt:i4>5</vt:i4>
      </vt:variant>
      <vt:variant>
        <vt:lpwstr>http://portal.to.gov.br/tocantins/buriti-do-tocantins/861</vt:lpwstr>
      </vt:variant>
      <vt:variant>
        <vt:lpwstr/>
      </vt:variant>
      <vt:variant>
        <vt:i4>2359357</vt:i4>
      </vt:variant>
      <vt:variant>
        <vt:i4>51</vt:i4>
      </vt:variant>
      <vt:variant>
        <vt:i4>0</vt:i4>
      </vt:variant>
      <vt:variant>
        <vt:i4>5</vt:i4>
      </vt:variant>
      <vt:variant>
        <vt:lpwstr>http://portal.to.gov.br/tocantins/brasilandia-do-tocantins/859</vt:lpwstr>
      </vt:variant>
      <vt:variant>
        <vt:lpwstr/>
      </vt:variant>
      <vt:variant>
        <vt:i4>1179734</vt:i4>
      </vt:variant>
      <vt:variant>
        <vt:i4>48</vt:i4>
      </vt:variant>
      <vt:variant>
        <vt:i4>0</vt:i4>
      </vt:variant>
      <vt:variant>
        <vt:i4>5</vt:i4>
      </vt:variant>
      <vt:variant>
        <vt:lpwstr>http://portal.to.gov.br/tocantins/bernardo-sayao/857</vt:lpwstr>
      </vt:variant>
      <vt:variant>
        <vt:lpwstr/>
      </vt:variant>
      <vt:variant>
        <vt:i4>786519</vt:i4>
      </vt:variant>
      <vt:variant>
        <vt:i4>45</vt:i4>
      </vt:variant>
      <vt:variant>
        <vt:i4>0</vt:i4>
      </vt:variant>
      <vt:variant>
        <vt:i4>5</vt:i4>
      </vt:variant>
      <vt:variant>
        <vt:lpwstr>http://portal.to.gov.br/tocantins/barrolandia/856</vt:lpwstr>
      </vt:variant>
      <vt:variant>
        <vt:lpwstr/>
      </vt:variant>
      <vt:variant>
        <vt:i4>3670126</vt:i4>
      </vt:variant>
      <vt:variant>
        <vt:i4>42</vt:i4>
      </vt:variant>
      <vt:variant>
        <vt:i4>0</vt:i4>
      </vt:variant>
      <vt:variant>
        <vt:i4>5</vt:i4>
      </vt:variant>
      <vt:variant>
        <vt:lpwstr>http://portal.to.gov.br/tocantins/barra-do-ouro/855</vt:lpwstr>
      </vt:variant>
      <vt:variant>
        <vt:lpwstr/>
      </vt:variant>
      <vt:variant>
        <vt:i4>2293885</vt:i4>
      </vt:variant>
      <vt:variant>
        <vt:i4>39</vt:i4>
      </vt:variant>
      <vt:variant>
        <vt:i4>0</vt:i4>
      </vt:variant>
      <vt:variant>
        <vt:i4>5</vt:i4>
      </vt:variant>
      <vt:variant>
        <vt:lpwstr>http://portal.to.gov.br/tocantins/bandeirantes-do-tocantins/854</vt:lpwstr>
      </vt:variant>
      <vt:variant>
        <vt:lpwstr/>
      </vt:variant>
      <vt:variant>
        <vt:i4>7602278</vt:i4>
      </vt:variant>
      <vt:variant>
        <vt:i4>36</vt:i4>
      </vt:variant>
      <vt:variant>
        <vt:i4>0</vt:i4>
      </vt:variant>
      <vt:variant>
        <vt:i4>5</vt:i4>
      </vt:variant>
      <vt:variant>
        <vt:lpwstr>http://portal.to.gov.br/tocantins/babaculandia/853</vt:lpwstr>
      </vt:variant>
      <vt:variant>
        <vt:lpwstr/>
      </vt:variant>
      <vt:variant>
        <vt:i4>4522074</vt:i4>
      </vt:variant>
      <vt:variant>
        <vt:i4>33</vt:i4>
      </vt:variant>
      <vt:variant>
        <vt:i4>0</vt:i4>
      </vt:variant>
      <vt:variant>
        <vt:i4>5</vt:i4>
      </vt:variant>
      <vt:variant>
        <vt:lpwstr>http://portal.to.gov.br/tocantins/axixa-do-tocantins/852</vt:lpwstr>
      </vt:variant>
      <vt:variant>
        <vt:lpwstr/>
      </vt:variant>
      <vt:variant>
        <vt:i4>1245211</vt:i4>
      </vt:variant>
      <vt:variant>
        <vt:i4>30</vt:i4>
      </vt:variant>
      <vt:variant>
        <vt:i4>0</vt:i4>
      </vt:variant>
      <vt:variant>
        <vt:i4>5</vt:i4>
      </vt:variant>
      <vt:variant>
        <vt:lpwstr>http://portal.to.gov.br/tocantins/augustinopolis/850</vt:lpwstr>
      </vt:variant>
      <vt:variant>
        <vt:lpwstr/>
      </vt:variant>
      <vt:variant>
        <vt:i4>6815853</vt:i4>
      </vt:variant>
      <vt:variant>
        <vt:i4>27</vt:i4>
      </vt:variant>
      <vt:variant>
        <vt:i4>0</vt:i4>
      </vt:variant>
      <vt:variant>
        <vt:i4>5</vt:i4>
      </vt:variant>
      <vt:variant>
        <vt:lpwstr>http://portal.to.gov.br/tocantins/arapoema/848</vt:lpwstr>
      </vt:variant>
      <vt:variant>
        <vt:lpwstr/>
      </vt:variant>
      <vt:variant>
        <vt:i4>7274545</vt:i4>
      </vt:variant>
      <vt:variant>
        <vt:i4>24</vt:i4>
      </vt:variant>
      <vt:variant>
        <vt:i4>0</vt:i4>
      </vt:variant>
      <vt:variant>
        <vt:i4>5</vt:i4>
      </vt:variant>
      <vt:variant>
        <vt:lpwstr>http://portal.to.gov.br/tocantins/araguaina/845</vt:lpwstr>
      </vt:variant>
      <vt:variant>
        <vt:lpwstr/>
      </vt:variant>
      <vt:variant>
        <vt:i4>983040</vt:i4>
      </vt:variant>
      <vt:variant>
        <vt:i4>21</vt:i4>
      </vt:variant>
      <vt:variant>
        <vt:i4>0</vt:i4>
      </vt:variant>
      <vt:variant>
        <vt:i4>5</vt:i4>
      </vt:variant>
      <vt:variant>
        <vt:lpwstr>http://portal.to.gov.br/tocantins/araguatins/847</vt:lpwstr>
      </vt:variant>
      <vt:variant>
        <vt:lpwstr/>
      </vt:variant>
      <vt:variant>
        <vt:i4>7667828</vt:i4>
      </vt:variant>
      <vt:variant>
        <vt:i4>18</vt:i4>
      </vt:variant>
      <vt:variant>
        <vt:i4>0</vt:i4>
      </vt:variant>
      <vt:variant>
        <vt:i4>5</vt:i4>
      </vt:variant>
      <vt:variant>
        <vt:lpwstr>http://portal.to.gov.br/tocantins/araguana/846</vt:lpwstr>
      </vt:variant>
      <vt:variant>
        <vt:lpwstr/>
      </vt:variant>
      <vt:variant>
        <vt:i4>1376276</vt:i4>
      </vt:variant>
      <vt:variant>
        <vt:i4>15</vt:i4>
      </vt:variant>
      <vt:variant>
        <vt:i4>0</vt:i4>
      </vt:variant>
      <vt:variant>
        <vt:i4>5</vt:i4>
      </vt:variant>
      <vt:variant>
        <vt:lpwstr>http://portal.to.gov.br/tocantins/araguacema/843</vt:lpwstr>
      </vt:variant>
      <vt:variant>
        <vt:lpwstr/>
      </vt:variant>
      <vt:variant>
        <vt:i4>65544</vt:i4>
      </vt:variant>
      <vt:variant>
        <vt:i4>12</vt:i4>
      </vt:variant>
      <vt:variant>
        <vt:i4>0</vt:i4>
      </vt:variant>
      <vt:variant>
        <vt:i4>5</vt:i4>
      </vt:variant>
      <vt:variant>
        <vt:lpwstr>http://portal.to.gov.br/tocantins/aragominas/842</vt:lpwstr>
      </vt:variant>
      <vt:variant>
        <vt:lpwstr/>
      </vt:variant>
      <vt:variant>
        <vt:i4>917514</vt:i4>
      </vt:variant>
      <vt:variant>
        <vt:i4>9</vt:i4>
      </vt:variant>
      <vt:variant>
        <vt:i4>0</vt:i4>
      </vt:variant>
      <vt:variant>
        <vt:i4>5</vt:i4>
      </vt:variant>
      <vt:variant>
        <vt:lpwstr>http://portal.to.gov.br/tocantins/angico/840</vt:lpwstr>
      </vt:variant>
      <vt:variant>
        <vt:lpwstr/>
      </vt:variant>
      <vt:variant>
        <vt:i4>1835017</vt:i4>
      </vt:variant>
      <vt:variant>
        <vt:i4>6</vt:i4>
      </vt:variant>
      <vt:variant>
        <vt:i4>0</vt:i4>
      </vt:variant>
      <vt:variant>
        <vt:i4>5</vt:i4>
      </vt:variant>
      <vt:variant>
        <vt:lpwstr>http://portal.to.gov.br/tocantins/ananas/839</vt:lpwstr>
      </vt:variant>
      <vt:variant>
        <vt:lpwstr/>
      </vt:variant>
      <vt:variant>
        <vt:i4>6750264</vt:i4>
      </vt:variant>
      <vt:variant>
        <vt:i4>3</vt:i4>
      </vt:variant>
      <vt:variant>
        <vt:i4>0</vt:i4>
      </vt:variant>
      <vt:variant>
        <vt:i4>5</vt:i4>
      </vt:variant>
      <vt:variant>
        <vt:lpwstr>http://portal.to.gov.br/tocantins/aguiarnopolis/835</vt:lpwstr>
      </vt:variant>
      <vt:variant>
        <vt:lpwstr/>
      </vt:variant>
      <vt:variant>
        <vt:i4>1966158</vt:i4>
      </vt:variant>
      <vt:variant>
        <vt:i4>0</vt:i4>
      </vt:variant>
      <vt:variant>
        <vt:i4>0</vt:i4>
      </vt:variant>
      <vt:variant>
        <vt:i4>5</vt:i4>
      </vt:variant>
      <vt:variant>
        <vt:lpwstr>http://portal.to.gov.br/tocantins/abreulandia/834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Termo de Referência</dc:title>
  <dc:creator>Belizário</dc:creator>
  <cp:lastModifiedBy>Susete Martins Vila</cp:lastModifiedBy>
  <cp:revision>3</cp:revision>
  <cp:lastPrinted>2016-09-16T13:52:00Z</cp:lastPrinted>
  <dcterms:created xsi:type="dcterms:W3CDTF">2016-09-16T13:53:00Z</dcterms:created>
  <dcterms:modified xsi:type="dcterms:W3CDTF">2017-11-14T17:11:00Z</dcterms:modified>
</cp:coreProperties>
</file>