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11" w:rsidRPr="00606733" w:rsidRDefault="00606733">
      <w:pPr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606733">
        <w:rPr>
          <w:rFonts w:ascii="Times New Roman" w:eastAsia="Arial" w:hAnsi="Times New Roman" w:cs="Times New Roman"/>
          <w:b/>
        </w:rPr>
        <w:t>CHECK</w:t>
      </w:r>
      <w:r w:rsidR="001045BD" w:rsidRPr="00606733">
        <w:rPr>
          <w:rFonts w:ascii="Times New Roman" w:eastAsia="Arial" w:hAnsi="Times New Roman" w:cs="Times New Roman"/>
          <w:b/>
        </w:rPr>
        <w:t>LIST</w:t>
      </w:r>
    </w:p>
    <w:p w:rsidR="00435111" w:rsidRPr="00606733" w:rsidRDefault="00435111">
      <w:pPr>
        <w:spacing w:line="360" w:lineRule="auto"/>
        <w:rPr>
          <w:rFonts w:ascii="Times New Roman" w:eastAsia="Times New Roman" w:hAnsi="Times New Roman" w:cs="Times New Roman"/>
        </w:rPr>
      </w:pPr>
    </w:p>
    <w:p w:rsidR="00435111" w:rsidRPr="00606733" w:rsidRDefault="001045BD">
      <w:pPr>
        <w:spacing w:line="360" w:lineRule="auto"/>
        <w:jc w:val="center"/>
        <w:rPr>
          <w:rFonts w:ascii="Times New Roman" w:eastAsia="Arial" w:hAnsi="Times New Roman" w:cs="Times New Roman"/>
          <w:b/>
          <w:u w:val="single"/>
        </w:rPr>
      </w:pPr>
      <w:r w:rsidRPr="00606733">
        <w:rPr>
          <w:rFonts w:ascii="Times New Roman" w:eastAsia="Arial" w:hAnsi="Times New Roman" w:cs="Times New Roman"/>
          <w:b/>
          <w:u w:val="single"/>
        </w:rPr>
        <w:t xml:space="preserve">Dispensa de Licitação </w:t>
      </w:r>
      <w:r w:rsidR="007E3577" w:rsidRPr="00606733">
        <w:rPr>
          <w:rFonts w:ascii="Times New Roman" w:eastAsia="Arial" w:hAnsi="Times New Roman" w:cs="Times New Roman"/>
          <w:b/>
          <w:u w:val="single"/>
        </w:rPr>
        <w:t xml:space="preserve">- </w:t>
      </w:r>
      <w:r w:rsidRPr="00606733">
        <w:rPr>
          <w:rFonts w:ascii="Times New Roman" w:eastAsia="Arial" w:hAnsi="Times New Roman" w:cs="Times New Roman"/>
          <w:b/>
          <w:u w:val="single"/>
        </w:rPr>
        <w:t>Prestação de Serviços</w:t>
      </w:r>
    </w:p>
    <w:p w:rsidR="00435111" w:rsidRPr="007E3577" w:rsidRDefault="00435111">
      <w:pPr>
        <w:spacing w:line="360" w:lineRule="auto"/>
        <w:ind w:left="57" w:right="57"/>
        <w:jc w:val="center"/>
        <w:rPr>
          <w:rFonts w:ascii="Times New Roman" w:eastAsia="Arial" w:hAnsi="Times New Roman" w:cs="Times New Roman"/>
          <w:b/>
          <w:u w:val="single"/>
        </w:rPr>
      </w:pPr>
    </w:p>
    <w:p w:rsidR="00435111" w:rsidRPr="00606733" w:rsidRDefault="001045BD">
      <w:pPr>
        <w:widowControl w:val="0"/>
        <w:spacing w:line="360" w:lineRule="auto"/>
        <w:ind w:right="-7"/>
        <w:rPr>
          <w:rFonts w:ascii="Times New Roman" w:eastAsia="Arial" w:hAnsi="Times New Roman" w:cs="Times New Roman"/>
          <w:sz w:val="18"/>
          <w:szCs w:val="18"/>
        </w:rPr>
      </w:pPr>
      <w:r w:rsidRPr="00606733">
        <w:rPr>
          <w:rFonts w:ascii="Times New Roman" w:eastAsia="Arial" w:hAnsi="Times New Roman" w:cs="Times New Roman"/>
          <w:sz w:val="18"/>
          <w:szCs w:val="18"/>
        </w:rPr>
        <w:t>Órgão/Entidade: ___________________________________________________________________________</w:t>
      </w:r>
    </w:p>
    <w:p w:rsidR="00435111" w:rsidRPr="00606733" w:rsidRDefault="001045BD">
      <w:pPr>
        <w:spacing w:line="360" w:lineRule="auto"/>
        <w:rPr>
          <w:rFonts w:ascii="Times New Roman" w:eastAsia="Arial" w:hAnsi="Times New Roman" w:cs="Times New Roman"/>
          <w:sz w:val="18"/>
          <w:szCs w:val="18"/>
        </w:rPr>
      </w:pPr>
      <w:r w:rsidRPr="00606733">
        <w:rPr>
          <w:rFonts w:ascii="Times New Roman" w:eastAsia="Arial" w:hAnsi="Times New Roman" w:cs="Times New Roman"/>
          <w:sz w:val="18"/>
          <w:szCs w:val="18"/>
        </w:rPr>
        <w:t>Processo nº:___________________________________</w:t>
      </w:r>
      <w:r w:rsidR="007E3577" w:rsidRPr="00606733">
        <w:rPr>
          <w:rFonts w:ascii="Times New Roman" w:eastAsia="Arial" w:hAnsi="Times New Roman" w:cs="Times New Roman"/>
          <w:sz w:val="18"/>
          <w:szCs w:val="18"/>
        </w:rPr>
        <w:t xml:space="preserve"> Valor R$ </w:t>
      </w:r>
      <w:r w:rsidRPr="00606733">
        <w:rPr>
          <w:rFonts w:ascii="Times New Roman" w:eastAsia="Arial" w:hAnsi="Times New Roman" w:cs="Times New Roman"/>
          <w:sz w:val="18"/>
          <w:szCs w:val="18"/>
        </w:rPr>
        <w:t>____________________________________</w:t>
      </w:r>
    </w:p>
    <w:p w:rsidR="007E3577" w:rsidRPr="00606733" w:rsidRDefault="007E3577">
      <w:pPr>
        <w:spacing w:line="360" w:lineRule="auto"/>
        <w:rPr>
          <w:rFonts w:ascii="Times New Roman" w:eastAsia="Arial" w:hAnsi="Times New Roman" w:cs="Times New Roman"/>
          <w:sz w:val="18"/>
          <w:szCs w:val="18"/>
        </w:rPr>
      </w:pPr>
      <w:r w:rsidRPr="00606733">
        <w:rPr>
          <w:rFonts w:ascii="Times New Roman" w:eastAsia="Arial" w:hAnsi="Times New Roman" w:cs="Times New Roman"/>
          <w:sz w:val="18"/>
          <w:szCs w:val="18"/>
        </w:rPr>
        <w:t>Tipo de serviço: ____________________________________________________________________________</w:t>
      </w:r>
    </w:p>
    <w:p w:rsidR="00435111" w:rsidRPr="00606733" w:rsidRDefault="0043511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35111" w:rsidRPr="00606733" w:rsidRDefault="001045BD">
      <w:pPr>
        <w:spacing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06733">
        <w:rPr>
          <w:rFonts w:ascii="Times New Roman" w:eastAsia="Arial" w:hAnsi="Times New Roman" w:cs="Times New Roman"/>
          <w:b/>
          <w:sz w:val="18"/>
          <w:szCs w:val="18"/>
          <w:u w:val="single"/>
        </w:rPr>
        <w:t>Dispensa de Licitação</w:t>
      </w:r>
      <w:r w:rsidRPr="00606733">
        <w:rPr>
          <w:rFonts w:ascii="Times New Roman" w:eastAsia="Arial" w:hAnsi="Times New Roman" w:cs="Times New Roman"/>
          <w:b/>
          <w:sz w:val="18"/>
          <w:szCs w:val="18"/>
        </w:rPr>
        <w:t xml:space="preserve">: </w:t>
      </w:r>
      <w:r w:rsidRPr="00606733">
        <w:rPr>
          <w:rFonts w:ascii="Times New Roman" w:eastAsia="Arial" w:hAnsi="Times New Roman" w:cs="Times New Roman"/>
          <w:sz w:val="18"/>
          <w:szCs w:val="18"/>
        </w:rPr>
        <w:t xml:space="preserve">O </w:t>
      </w:r>
      <w:r w:rsidRPr="00606733">
        <w:rPr>
          <w:rFonts w:ascii="Times New Roman" w:eastAsia="Arial" w:hAnsi="Times New Roman" w:cs="Times New Roman"/>
          <w:b/>
          <w:sz w:val="18"/>
          <w:szCs w:val="18"/>
        </w:rPr>
        <w:t xml:space="preserve">art. 24, inciso I e II, </w:t>
      </w:r>
      <w:r w:rsidR="00606733" w:rsidRPr="00132943">
        <w:rPr>
          <w:rFonts w:ascii="Times New Roman" w:eastAsia="Arial" w:hAnsi="Times New Roman" w:cs="Times New Roman"/>
          <w:b/>
          <w:sz w:val="18"/>
          <w:szCs w:val="18"/>
        </w:rPr>
        <w:t xml:space="preserve">da </w:t>
      </w:r>
      <w:r w:rsidR="00132943" w:rsidRPr="00132943">
        <w:rPr>
          <w:rFonts w:ascii="Times New Roman" w:eastAsia="Arial" w:hAnsi="Times New Roman" w:cs="Times New Roman"/>
          <w:b/>
          <w:sz w:val="18"/>
          <w:szCs w:val="18"/>
        </w:rPr>
        <w:t>L</w:t>
      </w:r>
      <w:r w:rsidR="00606733" w:rsidRPr="00132943">
        <w:rPr>
          <w:rFonts w:ascii="Times New Roman" w:eastAsia="Arial" w:hAnsi="Times New Roman" w:cs="Times New Roman"/>
          <w:b/>
          <w:sz w:val="18"/>
          <w:szCs w:val="18"/>
        </w:rPr>
        <w:t xml:space="preserve">ei </w:t>
      </w:r>
      <w:r w:rsidR="00132943" w:rsidRPr="00132943">
        <w:rPr>
          <w:rFonts w:ascii="Times New Roman" w:eastAsia="Arial" w:hAnsi="Times New Roman" w:cs="Times New Roman"/>
          <w:b/>
          <w:sz w:val="18"/>
          <w:szCs w:val="18"/>
        </w:rPr>
        <w:t xml:space="preserve">Federal nº </w:t>
      </w:r>
      <w:r w:rsidR="00606733" w:rsidRPr="00132943">
        <w:rPr>
          <w:rFonts w:ascii="Times New Roman" w:eastAsia="Arial" w:hAnsi="Times New Roman" w:cs="Times New Roman"/>
          <w:b/>
          <w:sz w:val="18"/>
          <w:szCs w:val="18"/>
        </w:rPr>
        <w:t>8.666/93,</w:t>
      </w:r>
      <w:r w:rsidR="00606733" w:rsidRPr="00606733">
        <w:rPr>
          <w:rFonts w:ascii="Times New Roman" w:eastAsia="Arial" w:hAnsi="Times New Roman" w:cs="Times New Roman"/>
          <w:b/>
          <w:color w:val="4F81BD" w:themeColor="accent1"/>
          <w:sz w:val="18"/>
          <w:szCs w:val="18"/>
        </w:rPr>
        <w:t xml:space="preserve"> </w:t>
      </w:r>
      <w:r w:rsidRPr="00606733">
        <w:rPr>
          <w:rFonts w:ascii="Times New Roman" w:eastAsia="Arial" w:hAnsi="Times New Roman" w:cs="Times New Roman"/>
          <w:sz w:val="18"/>
          <w:szCs w:val="18"/>
        </w:rPr>
        <w:t>por considerar que o valor da contratação não compensa os custos da Administração com o procedimento licitatório. Enquadram-se nessa modalidade de dispensa de valor de até 10% (dez por cento) do limite previsto para modalidade convite.</w:t>
      </w:r>
    </w:p>
    <w:p w:rsidR="00435111" w:rsidRPr="00606733" w:rsidRDefault="0043511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5111" w:rsidRPr="00606733" w:rsidRDefault="001045BD">
      <w:pPr>
        <w:rPr>
          <w:rFonts w:ascii="Times New Roman" w:eastAsia="Arial" w:hAnsi="Times New Roman" w:cs="Times New Roman"/>
          <w:b/>
          <w:sz w:val="18"/>
          <w:szCs w:val="18"/>
        </w:rPr>
      </w:pPr>
      <w:r w:rsidRPr="00606733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4"/>
        <w:gridCol w:w="889"/>
        <w:gridCol w:w="70"/>
        <w:gridCol w:w="44"/>
        <w:gridCol w:w="155"/>
        <w:gridCol w:w="383"/>
        <w:gridCol w:w="87"/>
        <w:gridCol w:w="79"/>
        <w:gridCol w:w="41"/>
        <w:gridCol w:w="190"/>
        <w:gridCol w:w="41"/>
        <w:gridCol w:w="644"/>
      </w:tblGrid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5111" w:rsidRPr="00606733" w:rsidRDefault="001045B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Exigências para Formalização de Procedimentos de Dispensa de Licitação relativa à Prestação de Serviços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5111" w:rsidRPr="00606733" w:rsidRDefault="001045B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5111" w:rsidRPr="00606733" w:rsidRDefault="001045B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35111" w:rsidRPr="00606733" w:rsidRDefault="001045B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435111" w:rsidRPr="00606733" w:rsidTr="001045BD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132943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processo de contratação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proofErr w:type="gramEnd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quantidade máxima de folhas, mediante termo de encerramento e</w:t>
            </w:r>
            <w:r w:rsidRPr="00606733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abertura? (Art. 38, 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 w:rsid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da Lei nº 8.666/93 e </w:t>
            </w:r>
            <w:r w:rsidR="00132943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137CE5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rt. 47</w:t>
            </w:r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, do Decreto</w:t>
            </w:r>
            <w:r w:rsidR="007E3577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132943">
              <w:rPr>
                <w:rFonts w:ascii="Times New Roman" w:eastAsia="Arial" w:hAnsi="Times New Roman" w:cs="Times New Roman"/>
                <w:sz w:val="18"/>
                <w:szCs w:val="18"/>
              </w:rPr>
              <w:t>de execução o</w:t>
            </w:r>
            <w:r w:rsidR="007E3577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rçamentário</w:t>
            </w:r>
            <w:r w:rsidR="00132943">
              <w:rPr>
                <w:rFonts w:ascii="Times New Roman" w:eastAsia="Arial" w:hAnsi="Times New Roman" w:cs="Times New Roman"/>
                <w:sz w:val="18"/>
                <w:szCs w:val="18"/>
              </w:rPr>
              <w:t>-financeiro</w:t>
            </w:r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</w:t>
            </w:r>
            <w:r w:rsidR="00606733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6.046/2020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processo de contratação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1489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132943" w:rsidRDefault="001045BD" w:rsidP="00132943">
            <w:pPr>
              <w:numPr>
                <w:ilvl w:val="0"/>
                <w:numId w:val="1"/>
              </w:numPr>
              <w:spacing w:line="276" w:lineRule="auto"/>
              <w:ind w:left="567" w:hanging="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termo de referência ou projeto básico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definido o objeto da contratação, os critérios de aceitação das propostas, inclusive com a fixação dos prazos e condições para </w:t>
            </w:r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fornecimento e aceitação? (Art. 40, inc. I e art. 7º, inc. I da Lei nº 8.666/93, </w:t>
            </w:r>
            <w:r w:rsidR="00132943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</w:t>
            </w:r>
            <w:r w:rsidR="00606733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27 e 35</w:t>
            </w:r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</w:t>
            </w:r>
            <w:r w:rsidR="007E3577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reto</w:t>
            </w:r>
            <w:r w:rsidR="00132943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execução orçamentário-financeiro </w:t>
            </w:r>
            <w:r w:rsidR="00606733"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nº 6.046/2020</w:t>
            </w:r>
            <w:proofErr w:type="gramStart"/>
            <w:r w:rsidRPr="0013294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32943" w:rsidRPr="00132943" w:rsidRDefault="00132943" w:rsidP="00132943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2943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 w:rsidRPr="00132943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 w:rsidRPr="00132943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EB3" w:rsidRPr="00606733" w:rsidTr="0063654E">
        <w:trPr>
          <w:trHeight w:val="1814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 w:rsidP="00952EB3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Pesquisa de mercado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 no mínimo de 03 orçamentos e planilha de preços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ou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mínimo)? (Art. 26, § único, inc. III da Lei n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 e, ainda, Acórdãos TCU nº 1.545/03, Relação nº 49/03, nº 222/04 e nº 2.975/04 –1ª Câmara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952EB3" w:rsidRPr="00606733" w:rsidRDefault="00952EB3" w:rsidP="00952EB3">
            <w:pPr>
              <w:spacing w:line="276" w:lineRule="auto"/>
              <w:ind w:left="56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Obs. a pesquisa pode ser feita por outros mecanismos, como consulta aos preços praticados no </w:t>
            </w:r>
            <w:r w:rsidRPr="00606733">
              <w:rPr>
                <w:rFonts w:ascii="Times New Roman" w:eastAsia="Arial" w:hAnsi="Times New Roman" w:cs="Times New Roman"/>
                <w:b/>
                <w:i/>
                <w:sz w:val="18"/>
                <w:szCs w:val="18"/>
              </w:rPr>
              <w:t>COMPRASNET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, em revistas oficiais especializadas ou através de institutos de pesquisa.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111" w:rsidRPr="00606733" w:rsidRDefault="001045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O processo de contratação de dispensa de licitação de prestação de serviços consta: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2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Projeto Básico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 (Art. 6°, inc. IX, da Lei n</w:t>
            </w:r>
            <w:r w:rsidRPr="006067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8.666/93) e/ou o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Projeto Executivo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 (Art. 6°, inc. X, da Lei nº 8.666/93), constam nos autos? (Art. 40, §2°, inc. I, da Lei nº 8.666/93</w:t>
            </w:r>
            <w:proofErr w:type="gramStart"/>
            <w:r w:rsidRPr="006067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2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orçamento detalhado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custo estimado, com a indicação de quantitativos, preços unitários e totais? (Art. 7°, § 2°, inc. II, da Lei nº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7E3577" w:rsidP="00BA48DD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Em se tratando de aquisição e locação de bens e serviços de Tecnologia da Informação e Comunicação - TIC, consta a prévia aprovação da Agência de Tecnologia da Informação – ATI-TO, na conformidade da legislação específica, conf</w:t>
            </w:r>
            <w:r w:rsidR="00460ED7">
              <w:rPr>
                <w:rFonts w:ascii="Times New Roman" w:eastAsia="Arial" w:hAnsi="Times New Roman" w:cs="Times New Roman"/>
                <w:sz w:val="18"/>
                <w:szCs w:val="18"/>
              </w:rPr>
              <w:t>orme prevê</w:t>
            </w:r>
            <w:r w:rsid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alínea 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“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”, inciso I do art. 12 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do</w:t>
            </w:r>
            <w:r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creto 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 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execução o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rçamentário</w:t>
            </w:r>
            <w:r w:rsidR="00BA48DD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-financeiro</w:t>
            </w:r>
            <w:r w:rsidR="00460ED7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6.046/2020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 w:rsidP="007E3577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FASE DE AUTORIZAÇÃO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552952" w:rsidRDefault="001045BD" w:rsidP="00552952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Consta manifestação da liberação da despesa pelo Grupo Executivo para Gestão e Equilíbr</w:t>
            </w:r>
            <w:r w:rsidR="00460ED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io do Gasto Público? (Art. 2º, paragrafo</w:t>
            </w:r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único do Decreto </w:t>
            </w:r>
            <w:r w:rsidR="007E357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Estadual</w:t>
            </w:r>
            <w:r w:rsidR="00460ED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nº 5.842/18; </w:t>
            </w:r>
            <w:r w:rsidR="00460ED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art. 24</w:t>
            </w:r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inc. </w:t>
            </w:r>
            <w:r w:rsidR="00460ED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III e </w:t>
            </w:r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IV do Decreto</w:t>
            </w:r>
            <w:r w:rsidR="007E357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C1E85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de </w:t>
            </w:r>
            <w:r w:rsidR="00CC1E85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CC1E85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60ED7"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nº 6.046/2020</w:t>
            </w:r>
            <w:proofErr w:type="gramStart"/>
            <w:r w:rsidRPr="00552952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CC1E85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Detalhamento d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Dotação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</w:t>
            </w:r>
            <w:r w:rsidR="00460ED7">
              <w:rPr>
                <w:rFonts w:ascii="Times New Roman" w:hAnsi="Times New Roman" w:cs="Times New Roman"/>
                <w:sz w:val="18"/>
                <w:szCs w:val="18"/>
              </w:rPr>
              <w:t>nte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? (</w:t>
            </w:r>
            <w:r w:rsidR="00CC1E85" w:rsidRPr="00CC1E8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rt. 24</w:t>
            </w:r>
            <w:r w:rsidR="00E71555"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, inciso I do Decreto </w:t>
            </w:r>
            <w:r w:rsidR="00CC1E85"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="00CC1E85"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CC1E85"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nº 6.046/2020</w:t>
            </w:r>
            <w:proofErr w:type="gramStart"/>
            <w:r w:rsidRPr="00CC1E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CC1E85" w:rsidRDefault="001045BD" w:rsidP="00CC1E85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Consta Solicitação de Compras, com todos os campos preenchidos e devidamente autorizada pelos 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responsáveis? (</w:t>
            </w:r>
            <w:r w:rsidR="00CC1E85" w:rsidRPr="00CC1E8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rt. 24, inc. II e art. 59</w:t>
            </w:r>
            <w:r w:rsidRPr="00CC1E85">
              <w:rPr>
                <w:rFonts w:ascii="Times New Roman" w:hAnsi="Times New Roman" w:cs="Times New Roman"/>
                <w:sz w:val="18"/>
                <w:szCs w:val="18"/>
              </w:rPr>
              <w:t>, inc. II do Dec</w:t>
            </w:r>
            <w:r w:rsidR="00E71555"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reto </w:t>
            </w:r>
            <w:r w:rsidR="00CC1E8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="00CC1E85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CC1E85" w:rsidRPr="00C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ED7" w:rsidRPr="00CC1E85">
              <w:rPr>
                <w:rFonts w:ascii="Times New Roman" w:hAnsi="Times New Roman" w:cs="Times New Roman"/>
                <w:sz w:val="18"/>
                <w:szCs w:val="18"/>
              </w:rPr>
              <w:t>nº 6.046/2020</w:t>
            </w:r>
            <w:proofErr w:type="gramStart"/>
            <w:r w:rsidRPr="00CC1E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CC1E85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estimativa do impacto orçamentário-financeiro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despesa no exercício em que deva entra em vigor e nos dois exercícios seguintes? (</w:t>
            </w:r>
            <w:r w:rsidR="00CC1E85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16, inc. I da Lei Complementar n° 101/2000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declaração do ordenador de despesa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que o gasto necessário à realização do procedimento licitatório e à consequente contratação tem adequação orçamentária financeira com a LOA e compatibi</w:t>
            </w:r>
            <w:r w:rsidR="00CC1E85">
              <w:rPr>
                <w:rFonts w:ascii="Times New Roman" w:eastAsia="Arial" w:hAnsi="Times New Roman" w:cs="Times New Roman"/>
                <w:sz w:val="18"/>
                <w:szCs w:val="18"/>
              </w:rPr>
              <w:t>lidade com o PPA e com a LDO?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16, inc. II, da Lei Complementar n° 101/2000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999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CC1E85">
            <w:pPr>
              <w:numPr>
                <w:ilvl w:val="0"/>
                <w:numId w:val="1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A autoridade competente motivou o ato de dispensa do procedimento licitatório? (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art. 26 da Lei nº 8.666/93 c/c 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50, i</w:t>
            </w:r>
            <w:r w:rsidR="009D3A9E">
              <w:rPr>
                <w:rFonts w:ascii="Times New Roman" w:eastAsia="Arial" w:hAnsi="Times New Roman" w:cs="Times New Roman"/>
                <w:sz w:val="18"/>
                <w:szCs w:val="18"/>
              </w:rPr>
              <w:t>nc. IV da Lei nº 9.784/99;</w:t>
            </w:r>
            <w:r w:rsidR="00E1665A">
              <w:rPr>
                <w:rFonts w:ascii="Times New Roman" w:eastAsia="Arial" w:hAnsi="Times New Roman" w:cs="Times New Roman"/>
              </w:rPr>
              <w:t xml:space="preserve"> </w:t>
            </w:r>
            <w:r w:rsidR="009D3A9E"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>art. 28</w:t>
            </w:r>
            <w:r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>, §2º, inc. I do Dec</w:t>
            </w:r>
            <w:r w:rsidR="00E71555"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reto </w:t>
            </w:r>
            <w:r w:rsidR="00CC1E8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de </w:t>
            </w:r>
            <w:r w:rsidR="00CC1E85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CC1E85"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9D3A9E"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>6.046/2020</w:t>
            </w:r>
            <w:proofErr w:type="gramStart"/>
            <w:r w:rsidRPr="00CC1E85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CC1E85">
        <w:trPr>
          <w:trHeight w:val="40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111" w:rsidRPr="00606733" w:rsidRDefault="001045BD" w:rsidP="001045B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44" w:right="72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No processo de dispensa de licitação existe no que couberem os seguintes elementos:</w:t>
            </w:r>
          </w:p>
        </w:tc>
      </w:tr>
      <w:tr w:rsidR="00435111" w:rsidRPr="00606733" w:rsidTr="0063654E">
        <w:trPr>
          <w:trHeight w:val="450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Razão da escolha do fornecedor ou executante? (Art. 26, § único, inc. II da Lei n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450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861EAA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Justificativa do preço? (a</w:t>
            </w:r>
            <w:r w:rsidR="001045BD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26</w:t>
            </w:r>
            <w:r w:rsidR="009D3A9E">
              <w:rPr>
                <w:rFonts w:ascii="Times New Roman" w:eastAsia="Arial" w:hAnsi="Times New Roman" w:cs="Times New Roman"/>
                <w:sz w:val="18"/>
                <w:szCs w:val="18"/>
              </w:rPr>
              <w:t>, paragrafo</w:t>
            </w:r>
            <w:r w:rsidR="001045BD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único, inc. III da Lei 8.666/93</w:t>
            </w:r>
            <w:proofErr w:type="gramStart"/>
            <w:r w:rsidR="001045BD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450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644" w:right="72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Documento de aprovação dos projetos de pesquisas aos 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quais os bens serão alocados?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26, § único, inc. IV da Lei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30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caso em tela se adéqua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em tese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uma das </w:t>
            </w: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hipóteses de dispensa de licitação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taxativamente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prevista no 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24 da Lei nº 8.666/93?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35111" w:rsidRPr="00606733" w:rsidRDefault="001045BD">
            <w:pPr>
              <w:spacing w:line="276" w:lineRule="auto"/>
              <w:ind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435111" w:rsidRPr="00606733" w:rsidTr="0063654E">
        <w:trPr>
          <w:trHeight w:val="49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861EAA" w:rsidRDefault="001045BD" w:rsidP="00861EAA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601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Despacho do Gestor dispensando a apresentação de parte dos documentos de habilitação, nos termos do art. 32, §6º da Lei nº 8.666/93?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561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601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nos autos a proposta do fornecedor escolhido, com</w:t>
            </w:r>
            <w:bookmarkStart w:id="0" w:name="page4"/>
            <w:bookmarkEnd w:id="0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todos os detalhes t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écnicos de preço e de prazos?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38, inc.</w:t>
            </w:r>
            <w:r w:rsidR="009D3A9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IV da Lei 8.666/93)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Foram apresentados comprovantes referentes às g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arantias porventura exigidas?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55, inc. VI da Lei n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606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No procedimento de contratação, há em respeito ao Princípio da Moralidade Administrativa e por aplicação analógica dos </w:t>
            </w:r>
            <w:proofErr w:type="spell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27-31, Lei</w:t>
            </w:r>
            <w:proofErr w:type="gramEnd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E71555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Federal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nº 8.666/93:</w:t>
            </w:r>
          </w:p>
        </w:tc>
      </w:tr>
      <w:tr w:rsidR="00435111" w:rsidRPr="00606733" w:rsidTr="0063654E">
        <w:trPr>
          <w:trHeight w:val="513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habilitação jurídica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forneced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or ou executante nos moldes do 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28, da Lei nº 8.666/93?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>Na apresentação das certidões de regularidades, verificar a auten</w:t>
            </w:r>
            <w:r w:rsidR="009D3A9E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>cidade fazendo busca nos respectivos sites.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861EAA">
            <w:pPr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qualificação técnica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nos moldes do 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30, da Lei 8.666/93?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E1665A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9D3A9E">
            <w:pPr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comprovante de pesquisa, demonstrando que fora realizada a consulta no SICAF e CADIN, antes da assinatura do contrato nos moldes do art. 29, da Lei 8.666/93, assim como no CEIS e CNCIA, para a verificação da inidoneidade da empresa ou da pessoa física consultada?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9D3A9E" w:rsidRPr="009D3A9E">
                <w:rPr>
                  <w:rStyle w:val="Hyperlink"/>
                  <w:rFonts w:ascii="Times New Roman" w:hAnsi="Times New Roman" w:cs="Times New Roman"/>
                  <w:color w:val="4F81BD" w:themeColor="accent1"/>
                  <w:sz w:val="18"/>
                  <w:szCs w:val="18"/>
                  <w:lang w:val="en-US"/>
                </w:rPr>
                <w:t>http://www.portaltransparencia.gov.br/sancoes/ceis?ordenarPor=nome&amp;direcao=asc</w:t>
              </w:r>
            </w:hyperlink>
            <w:r w:rsidRPr="009D3A9E">
              <w:rPr>
                <w:rFonts w:ascii="Times New Roman" w:eastAsia="Arial" w:hAnsi="Times New Roman" w:cs="Times New Roman"/>
                <w:color w:val="4F81BD" w:themeColor="accent1"/>
                <w:sz w:val="18"/>
                <w:szCs w:val="18"/>
                <w:lang w:val="en-US"/>
              </w:rPr>
              <w:t xml:space="preserve">)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>NOT CGE nº 02/2015 www.cge.to.gov.br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35111" w:rsidRPr="00606733" w:rsidTr="0063654E">
        <w:trPr>
          <w:trHeight w:val="661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3"/>
              </w:numPr>
              <w:spacing w:line="276" w:lineRule="auto"/>
              <w:ind w:left="601" w:right="129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Foi exigido o cumprimento do disposto no Art. 7°, inc. XXXIII, da Constituição Federal (proibição do traba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lho infantil) como determina o 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27°, inc. V, da Lei n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8.666/93?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minuta de termo de contrato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os instrumentos hábeis a substitui-lo, nos casos permitidos pelo art. 62 e 55 da Lei nº 8.666/93?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111" w:rsidRPr="00606733" w:rsidRDefault="00435111">
            <w:pPr>
              <w:spacing w:line="276" w:lineRule="auto"/>
              <w:ind w:left="606" w:right="129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35111" w:rsidRPr="00606733" w:rsidRDefault="001045BD">
            <w:pPr>
              <w:spacing w:line="276" w:lineRule="auto"/>
              <w:ind w:left="606" w:right="129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Obs. Rec</w:t>
            </w:r>
            <w:r w:rsidR="009D3A9E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omenda-se a utilização do </w:t>
            </w:r>
            <w:proofErr w:type="spellStart"/>
            <w:r w:rsidR="009D3A9E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Check</w:t>
            </w:r>
            <w:r w:rsidR="00861EA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l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ist</w:t>
            </w:r>
            <w:proofErr w:type="spellEnd"/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especifico para Termo de Contrato, disponível no site desta Controladoria.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rPr>
          <w:trHeight w:val="547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A Assessoria Jurídica se manifestou especificamente sobre a possibilid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ade de dispensa da licitação?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38, inc. VI da Lei nº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435111" w:rsidRPr="00606733" w:rsidRDefault="001045BD">
            <w:pPr>
              <w:spacing w:line="276" w:lineRule="auto"/>
              <w:ind w:right="129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435111" w:rsidRPr="00606733" w:rsidTr="0063654E">
        <w:trPr>
          <w:trHeight w:val="113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27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</w:t>
            </w:r>
            <w:proofErr w:type="gramEnd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comprovantes da publicação da imprensa oficial do Ato de Ratificação da Dispensa de Licitação, quando for o caso previsto no inciso III e </w:t>
            </w:r>
            <w:proofErr w:type="spell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ss</w:t>
            </w:r>
            <w:proofErr w:type="spellEnd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art. 24 da Lei nº 8.666/93?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CONTRATUALIZAÇÃO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861EAA" w:rsidRDefault="001045BD" w:rsidP="00861EAA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 w:rsidRPr="00861EA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Empenho - NE</w:t>
            </w: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garanta as despesas previstas para o exercício corrente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861EAA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rt. 6º, 11 e 12</w:t>
            </w: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, inc. I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V</w:t>
            </w: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, “a” do Dec</w:t>
            </w:r>
            <w:r w:rsidR="00E7155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reto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</w:t>
            </w:r>
            <w:r w:rsidR="00E7155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61EAA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861EAA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137CE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nº 6.0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46/2020</w:t>
            </w:r>
            <w:proofErr w:type="gramStart"/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original do contrato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extrato do contrato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ou de instrumento equivalente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62, da Lei n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 foi publicado no Diário Oficial e sua cópia foi </w:t>
            </w:r>
            <w:r w:rsidR="0005215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anexada no processo? 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>(a</w:t>
            </w:r>
            <w:r w:rsidR="0005215D">
              <w:rPr>
                <w:rFonts w:ascii="Times New Roman" w:eastAsia="Arial" w:hAnsi="Times New Roman" w:cs="Times New Roman"/>
                <w:sz w:val="18"/>
                <w:szCs w:val="18"/>
              </w:rPr>
              <w:t>rt. 61, paragrafo ú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nico da Lei nº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861EAA" w:rsidRDefault="001045BD" w:rsidP="00861EAA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 w:rsidRPr="00861EAA">
                <w:rPr>
                  <w:rStyle w:val="LinkdaInternet"/>
                  <w:rFonts w:ascii="Times New Roman" w:eastAsia="Arial" w:hAnsi="Times New Roman" w:cs="Times New Roman"/>
                  <w:color w:val="auto"/>
                  <w:sz w:val="18"/>
                  <w:szCs w:val="18"/>
                </w:rPr>
                <w:t>www.gestao.cge.to.gov.br</w:t>
              </w:r>
            </w:hyperlink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)? (</w:t>
            </w:r>
            <w:r w:rsidR="00861EAA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rt. 43</w:t>
            </w:r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, inc. IV, “c” do Dec</w:t>
            </w:r>
            <w:r w:rsidR="00E7155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reto</w:t>
            </w:r>
            <w:r w:rsid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</w:t>
            </w:r>
            <w:r w:rsidR="00E7155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861EAA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861EAA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E71555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  <w:r w:rsidR="0005215D"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6.046/2020</w:t>
            </w:r>
            <w:proofErr w:type="gramStart"/>
            <w:r w:rsidRPr="00861EAA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435111" w:rsidRPr="00606733" w:rsidTr="0063654E">
        <w:trPr>
          <w:trHeight w:val="992"/>
        </w:trPr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a designação do fiscal do contrato e a publicação da mesma (art. 67, Lei nº 8.666/93)?</w:t>
            </w:r>
          </w:p>
          <w:p w:rsidR="00435111" w:rsidRPr="00606733" w:rsidRDefault="001045BD">
            <w:pPr>
              <w:spacing w:line="276" w:lineRule="auto"/>
              <w:ind w:left="606" w:right="129" w:hanging="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Obs. Rec</w:t>
            </w:r>
            <w:r w:rsidR="0005215D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omenda-se a utilização do </w:t>
            </w:r>
            <w:proofErr w:type="spellStart"/>
            <w:r w:rsidR="0005215D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Check</w:t>
            </w:r>
            <w:r w:rsidR="00861EAA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l</w:t>
            </w:r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ist</w:t>
            </w:r>
            <w:proofErr w:type="spellEnd"/>
            <w:r w:rsidRPr="00606733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especifico para fiscal de contrato, disponível no site desta Controladoria.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Constam os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registros do fiscal de contrato</w:t>
            </w:r>
            <w:r w:rsidR="00A6548F" w:rsidRPr="0060673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6548F"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ou Relatório circunstanciado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, quanto o acompanhamento da execução do contrato</w:t>
            </w:r>
            <w:r w:rsidR="00A6548F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?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(art. 67, § 1º da Lei </w:t>
            </w:r>
            <w:r w:rsidR="00A6548F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nº 8.666/93</w:t>
            </w:r>
            <w:proofErr w:type="gramStart"/>
            <w:r w:rsidR="00A6548F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63654E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</w:t>
            </w:r>
            <w:r w:rsidR="0063654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67, § 1º e §2º da Lei nº 8.666/93</w:t>
            </w:r>
            <w:proofErr w:type="gramStart"/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27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Consta a Nota Fiscal – NF, devidamente atestada (art. 15, § 8º Lei nº 8.666/93)?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63654E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NL, 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su</w:t>
            </w:r>
            <w:r w:rsidR="000403F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cinta do ato 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realizado? (</w:t>
            </w:r>
            <w:r w:rsidR="0063654E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11 do Decreto </w:t>
            </w:r>
            <w:r w:rsidR="0063654E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de execução orçamentário-financeiro</w:t>
            </w:r>
            <w:bookmarkStart w:id="1" w:name="_GoBack"/>
            <w:bookmarkEnd w:id="1"/>
            <w:r w:rsidR="0063654E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nº 6.046/2020</w:t>
            </w:r>
            <w:r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1045BD">
        <w:trPr>
          <w:trHeight w:val="2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35111" w:rsidRPr="00606733" w:rsidRDefault="001045BD">
            <w:pPr>
              <w:spacing w:line="276" w:lineRule="auto"/>
              <w:ind w:left="606" w:right="129" w:hanging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00991" w:rsidP="0063654E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Estão</w:t>
            </w:r>
            <w:r w:rsidR="001045BD"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sendo 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retido</w:t>
            </w:r>
            <w:r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</w:t>
            </w:r>
            <w:r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s tributos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1045BD" w:rsidRPr="0063654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ISSQN</w:t>
            </w:r>
            <w:r w:rsidR="00E71555" w:rsidRPr="0063654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, IR ou INSS,</w:t>
            </w:r>
            <w:r w:rsidR="001045BD" w:rsidRPr="0063654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ou consta compr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ovante de recolhimento? (</w:t>
            </w:r>
            <w:r w:rsidR="0063654E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rt. 48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Dec</w:t>
            </w:r>
            <w:r w:rsidR="00A6548F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reto</w:t>
            </w:r>
            <w:r w:rsid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</w:t>
            </w:r>
            <w:r w:rsidR="0063654E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63654E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A6548F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  <w:r w:rsidR="000403F7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6.046/2020</w:t>
            </w:r>
            <w:r w:rsidR="001045BD" w:rsidRPr="0063654E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Programa de Desembolso – PD</w:t>
            </w:r>
            <w:r w:rsidR="0063654E">
              <w:rPr>
                <w:rFonts w:ascii="Times New Roman" w:eastAsia="Arial" w:hAnsi="Times New Roman" w:cs="Times New Roman"/>
                <w:sz w:val="18"/>
                <w:szCs w:val="18"/>
              </w:rPr>
              <w:t>? (a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rt. 64 da Lei nº 4.320/64)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 w:rsidP="00A6548F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pelo </w:t>
            </w:r>
            <w:r w:rsidRPr="00606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quando for o caso? </w:t>
            </w:r>
            <w:r w:rsidR="0063654E">
              <w:rPr>
                <w:rFonts w:ascii="Times New Roman" w:eastAsia="Arial" w:hAnsi="Times New Roman" w:cs="Times New Roman"/>
                <w:sz w:val="18"/>
                <w:szCs w:val="18"/>
              </w:rPr>
              <w:t>(art. 59, inc. III e a</w:t>
            </w:r>
            <w:r w:rsidR="000403F7">
              <w:rPr>
                <w:rFonts w:ascii="Times New Roman" w:eastAsia="Arial" w:hAnsi="Times New Roman" w:cs="Times New Roman"/>
                <w:sz w:val="18"/>
                <w:szCs w:val="18"/>
              </w:rPr>
              <w:t>rt. 25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606733">
              <w:rPr>
                <w:rFonts w:ascii="Times New Roman" w:hAnsi="Times New Roman" w:cs="Times New Roman"/>
                <w:sz w:val="18"/>
                <w:szCs w:val="18"/>
              </w:rPr>
              <w:t>do Dec</w:t>
            </w:r>
            <w:r w:rsidR="00A6548F" w:rsidRPr="00606733">
              <w:rPr>
                <w:rFonts w:ascii="Times New Roman" w:hAnsi="Times New Roman" w:cs="Times New Roman"/>
                <w:sz w:val="18"/>
                <w:szCs w:val="18"/>
              </w:rPr>
              <w:t xml:space="preserve">reto </w:t>
            </w:r>
            <w:r w:rsidR="0063654E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="0063654E" w:rsidRPr="00BA48DD">
              <w:rPr>
                <w:rFonts w:ascii="Times New Roman" w:eastAsia="Arial" w:hAnsi="Times New Roman" w:cs="Times New Roman"/>
                <w:sz w:val="18"/>
                <w:szCs w:val="18"/>
              </w:rPr>
              <w:t>execução orçamentário-financeiro</w:t>
            </w:r>
            <w:r w:rsidR="0063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03F7">
              <w:rPr>
                <w:rFonts w:ascii="Times New Roman" w:hAnsi="Times New Roman" w:cs="Times New Roman"/>
                <w:sz w:val="18"/>
                <w:szCs w:val="18"/>
              </w:rPr>
              <w:t xml:space="preserve">nº </w:t>
            </w:r>
            <w:r w:rsidR="00040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6.046/2020</w:t>
            </w:r>
            <w:proofErr w:type="gramStart"/>
            <w:r w:rsidRPr="006067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5111" w:rsidRPr="00606733" w:rsidTr="0063654E">
        <w:tc>
          <w:tcPr>
            <w:tcW w:w="3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1045BD">
            <w:pPr>
              <w:numPr>
                <w:ilvl w:val="0"/>
                <w:numId w:val="5"/>
              </w:numPr>
              <w:spacing w:line="276" w:lineRule="auto"/>
              <w:ind w:left="606" w:right="129" w:hanging="425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Consta </w:t>
            </w:r>
            <w:r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Ordem bancária – OB</w:t>
            </w:r>
            <w:r w:rsidR="0063654E"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="0063654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 </w:t>
            </w:r>
            <w:r w:rsidR="0063654E" w:rsidRPr="0060673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Relação Externa – RE</w:t>
            </w:r>
            <w:r w:rsidRPr="00606733">
              <w:rPr>
                <w:rFonts w:ascii="Times New Roman" w:eastAsia="Arial" w:hAnsi="Times New Roman" w:cs="Times New Roman"/>
                <w:sz w:val="18"/>
                <w:szCs w:val="18"/>
              </w:rPr>
              <w:t>? (Art. 64 da Lei nº 4.320/64)</w:t>
            </w:r>
          </w:p>
        </w:tc>
        <w:tc>
          <w:tcPr>
            <w:tcW w:w="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35111" w:rsidRPr="00606733" w:rsidRDefault="001045B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06733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35111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5111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5111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5111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11" w:rsidRPr="00606733" w:rsidRDefault="0043511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EB3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EB3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2EB3" w:rsidRPr="0060673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EB3" w:rsidRPr="00606733" w:rsidRDefault="00952EB3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045BD" w:rsidRPr="00606733" w:rsidRDefault="001045BD">
      <w:pPr>
        <w:rPr>
          <w:rFonts w:ascii="Times New Roman" w:hAnsi="Times New Roman" w:cs="Times New Roman"/>
          <w:sz w:val="18"/>
          <w:szCs w:val="18"/>
        </w:rPr>
      </w:pPr>
    </w:p>
    <w:p w:rsidR="00435111" w:rsidRPr="007E3577" w:rsidRDefault="0063654E" w:rsidP="0063654E">
      <w:pPr>
        <w:spacing w:line="360" w:lineRule="auto"/>
        <w:jc w:val="center"/>
        <w:rPr>
          <w:rFonts w:ascii="Times New Roman" w:hAnsi="Times New Roman" w:cs="Times New Roman"/>
        </w:rPr>
      </w:pPr>
      <w:r w:rsidRPr="00606733"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sectPr w:rsidR="00435111" w:rsidRPr="007E3577" w:rsidSect="00952EB3">
      <w:headerReference w:type="default" r:id="rId10"/>
      <w:pgSz w:w="11906" w:h="16838"/>
      <w:pgMar w:top="1735" w:right="1134" w:bottom="851" w:left="1701" w:header="3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3F" w:rsidRDefault="002F483F">
      <w:r>
        <w:separator/>
      </w:r>
    </w:p>
  </w:endnote>
  <w:endnote w:type="continuationSeparator" w:id="0">
    <w:p w:rsidR="002F483F" w:rsidRDefault="002F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3F" w:rsidRDefault="002F483F">
      <w:r>
        <w:separator/>
      </w:r>
    </w:p>
  </w:footnote>
  <w:footnote w:type="continuationSeparator" w:id="0">
    <w:p w:rsidR="002F483F" w:rsidRDefault="002F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tblInd w:w="-63" w:type="dxa"/>
      <w:tblLook w:val="04A0"/>
    </w:tblPr>
    <w:tblGrid>
      <w:gridCol w:w="5505"/>
      <w:gridCol w:w="4020"/>
    </w:tblGrid>
    <w:tr w:rsidR="00435111">
      <w:trPr>
        <w:trHeight w:val="1650"/>
      </w:trPr>
      <w:tc>
        <w:tcPr>
          <w:tcW w:w="5504" w:type="dxa"/>
          <w:shd w:val="clear" w:color="auto" w:fill="auto"/>
        </w:tcPr>
        <w:p w:rsidR="00435111" w:rsidRDefault="001045BD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3314700" cy="714375"/>
                <wp:effectExtent l="0" t="0" r="0" b="0"/>
                <wp:docPr id="2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shd w:val="clear" w:color="auto" w:fill="auto"/>
        </w:tcPr>
        <w:p w:rsidR="00435111" w:rsidRDefault="001045BD" w:rsidP="007E3577">
          <w:pPr>
            <w:pStyle w:val="Cabealho"/>
            <w:ind w:left="87"/>
          </w:pPr>
          <w:r>
            <w:rPr>
              <w:rFonts w:ascii="Calibri Light" w:eastAsia="Times New Roman" w:hAnsi="Calibri Light"/>
              <w:bCs/>
              <w:color w:val="0F243E" w:themeColor="text2" w:themeShade="80"/>
              <w:sz w:val="18"/>
              <w:szCs w:val="18"/>
            </w:rPr>
            <w:t>Praça dos Girassóis, Esplanada das Secretarias. S/N</w:t>
          </w:r>
          <w:r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435111" w:rsidRDefault="001045BD" w:rsidP="007E3577">
          <w:pPr>
            <w:pStyle w:val="Cabealho"/>
            <w:ind w:left="87"/>
          </w:pPr>
          <w:r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435111" w:rsidRDefault="001045BD" w:rsidP="007E3577">
          <w:pPr>
            <w:pStyle w:val="Cabealho"/>
            <w:ind w:left="87"/>
          </w:pPr>
          <w:r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435111" w:rsidRDefault="001045BD" w:rsidP="007E3577">
          <w:pPr>
            <w:pStyle w:val="Cabealho"/>
            <w:ind w:left="87"/>
          </w:pPr>
          <w:proofErr w:type="spellStart"/>
          <w:r>
            <w:rPr>
              <w:color w:val="0F243E" w:themeColor="text2" w:themeShade="80"/>
              <w:sz w:val="18"/>
              <w:szCs w:val="18"/>
            </w:rPr>
            <w:t>Tel</w:t>
          </w:r>
          <w:proofErr w:type="spellEnd"/>
          <w:r>
            <w:rPr>
              <w:color w:val="0F243E" w:themeColor="text2" w:themeShade="80"/>
              <w:sz w:val="18"/>
              <w:szCs w:val="18"/>
            </w:rPr>
            <w:t>: +55 63 3218-2563</w:t>
          </w:r>
          <w:r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435111" w:rsidRDefault="00435111" w:rsidP="007E3577">
    <w:pPr>
      <w:rPr>
        <w:rFonts w:ascii="Gotham Medium" w:hAnsi="Gotham Medium"/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23"/>
    <w:multiLevelType w:val="multilevel"/>
    <w:tmpl w:val="52980B4C"/>
    <w:lvl w:ilvl="0">
      <w:start w:val="1"/>
      <w:numFmt w:val="lowerLetter"/>
      <w:lvlText w:val="%1)"/>
      <w:lvlJc w:val="left"/>
      <w:pPr>
        <w:ind w:left="791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337246E7"/>
    <w:multiLevelType w:val="multilevel"/>
    <w:tmpl w:val="8F1A5C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3CA"/>
    <w:multiLevelType w:val="multilevel"/>
    <w:tmpl w:val="71427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E52469"/>
    <w:multiLevelType w:val="multilevel"/>
    <w:tmpl w:val="08502B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F24D77"/>
    <w:multiLevelType w:val="multilevel"/>
    <w:tmpl w:val="331AE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37AB"/>
    <w:multiLevelType w:val="multilevel"/>
    <w:tmpl w:val="ADAC4C1E"/>
    <w:lvl w:ilvl="0">
      <w:start w:val="14"/>
      <w:numFmt w:val="decimal"/>
      <w:lvlText w:val="%1."/>
      <w:lvlJc w:val="left"/>
      <w:pPr>
        <w:ind w:left="-902" w:hanging="360"/>
      </w:pPr>
      <w:rPr>
        <w:rFonts w:ascii="Calibri" w:hAnsi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-182" w:hanging="360"/>
      </w:pPr>
    </w:lvl>
    <w:lvl w:ilvl="2">
      <w:start w:val="1"/>
      <w:numFmt w:val="lowerRoman"/>
      <w:lvlText w:val="%3."/>
      <w:lvlJc w:val="right"/>
      <w:pPr>
        <w:ind w:left="538" w:hanging="180"/>
      </w:pPr>
    </w:lvl>
    <w:lvl w:ilvl="3">
      <w:start w:val="1"/>
      <w:numFmt w:val="decimal"/>
      <w:lvlText w:val="%4."/>
      <w:lvlJc w:val="left"/>
      <w:pPr>
        <w:ind w:left="1258" w:hanging="360"/>
      </w:pPr>
    </w:lvl>
    <w:lvl w:ilvl="4">
      <w:start w:val="1"/>
      <w:numFmt w:val="lowerLetter"/>
      <w:lvlText w:val="%5."/>
      <w:lvlJc w:val="left"/>
      <w:pPr>
        <w:ind w:left="1978" w:hanging="360"/>
      </w:pPr>
    </w:lvl>
    <w:lvl w:ilvl="5">
      <w:start w:val="1"/>
      <w:numFmt w:val="lowerRoman"/>
      <w:lvlText w:val="%6."/>
      <w:lvlJc w:val="right"/>
      <w:pPr>
        <w:ind w:left="2698" w:hanging="180"/>
      </w:pPr>
    </w:lvl>
    <w:lvl w:ilvl="6">
      <w:start w:val="1"/>
      <w:numFmt w:val="decimal"/>
      <w:lvlText w:val="%7."/>
      <w:lvlJc w:val="left"/>
      <w:pPr>
        <w:ind w:left="3418" w:hanging="360"/>
      </w:pPr>
    </w:lvl>
    <w:lvl w:ilvl="7">
      <w:start w:val="1"/>
      <w:numFmt w:val="lowerLetter"/>
      <w:lvlText w:val="%8."/>
      <w:lvlJc w:val="left"/>
      <w:pPr>
        <w:ind w:left="4138" w:hanging="360"/>
      </w:pPr>
    </w:lvl>
    <w:lvl w:ilvl="8">
      <w:start w:val="1"/>
      <w:numFmt w:val="lowerRoman"/>
      <w:lvlText w:val="%9."/>
      <w:lvlJc w:val="right"/>
      <w:pPr>
        <w:ind w:left="485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111"/>
    <w:rsid w:val="000403F7"/>
    <w:rsid w:val="0005215D"/>
    <w:rsid w:val="001045BD"/>
    <w:rsid w:val="00132943"/>
    <w:rsid w:val="00137CE5"/>
    <w:rsid w:val="00210F75"/>
    <w:rsid w:val="002F483F"/>
    <w:rsid w:val="00400991"/>
    <w:rsid w:val="00435111"/>
    <w:rsid w:val="00460ED7"/>
    <w:rsid w:val="00552952"/>
    <w:rsid w:val="00606733"/>
    <w:rsid w:val="0063654E"/>
    <w:rsid w:val="007E3577"/>
    <w:rsid w:val="008477F6"/>
    <w:rsid w:val="00861EAA"/>
    <w:rsid w:val="00952EB3"/>
    <w:rsid w:val="009D3A9E"/>
    <w:rsid w:val="00A6548F"/>
    <w:rsid w:val="00A76A17"/>
    <w:rsid w:val="00BA48DD"/>
    <w:rsid w:val="00CC1E85"/>
    <w:rsid w:val="00D91D58"/>
    <w:rsid w:val="00DF59F0"/>
    <w:rsid w:val="00E1665A"/>
    <w:rsid w:val="00E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F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742F"/>
  </w:style>
  <w:style w:type="character" w:customStyle="1" w:styleId="RodapChar">
    <w:name w:val="Rodapé Char"/>
    <w:basedOn w:val="Fontepargpadro"/>
    <w:link w:val="Rodap"/>
    <w:uiPriority w:val="99"/>
    <w:qFormat/>
    <w:rsid w:val="0004742F"/>
  </w:style>
  <w:style w:type="character" w:customStyle="1" w:styleId="LinkdaInternet">
    <w:name w:val="Link da Internet"/>
    <w:uiPriority w:val="99"/>
    <w:unhideWhenUsed/>
    <w:rsid w:val="0004742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79EB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D91D58"/>
    <w:rPr>
      <w:b/>
      <w:color w:val="auto"/>
    </w:rPr>
  </w:style>
  <w:style w:type="character" w:customStyle="1" w:styleId="ListLabel2">
    <w:name w:val="ListLabel 2"/>
    <w:qFormat/>
    <w:rsid w:val="00D91D58"/>
    <w:rPr>
      <w:b/>
      <w:color w:val="auto"/>
    </w:rPr>
  </w:style>
  <w:style w:type="character" w:customStyle="1" w:styleId="ListLabel3">
    <w:name w:val="ListLabel 3"/>
    <w:qFormat/>
    <w:rsid w:val="00D91D58"/>
    <w:rPr>
      <w:b/>
    </w:rPr>
  </w:style>
  <w:style w:type="character" w:customStyle="1" w:styleId="ListLabel4">
    <w:name w:val="ListLabel 4"/>
    <w:qFormat/>
    <w:rsid w:val="00D91D58"/>
    <w:rPr>
      <w:b/>
    </w:rPr>
  </w:style>
  <w:style w:type="character" w:customStyle="1" w:styleId="ListLabel5">
    <w:name w:val="ListLabel 5"/>
    <w:qFormat/>
    <w:rsid w:val="00D91D58"/>
    <w:rPr>
      <w:b/>
    </w:rPr>
  </w:style>
  <w:style w:type="character" w:customStyle="1" w:styleId="ListLabel6">
    <w:name w:val="ListLabel 6"/>
    <w:qFormat/>
    <w:rsid w:val="00D91D58"/>
    <w:rPr>
      <w:b/>
      <w:sz w:val="20"/>
      <w:szCs w:val="20"/>
    </w:rPr>
  </w:style>
  <w:style w:type="character" w:customStyle="1" w:styleId="ListLabel7">
    <w:name w:val="ListLabel 7"/>
    <w:qFormat/>
    <w:rsid w:val="00D91D58"/>
    <w:rPr>
      <w:b/>
    </w:rPr>
  </w:style>
  <w:style w:type="character" w:customStyle="1" w:styleId="ListLabel8">
    <w:name w:val="ListLabel 8"/>
    <w:qFormat/>
    <w:rsid w:val="00D91D58"/>
    <w:rPr>
      <w:b/>
    </w:rPr>
  </w:style>
  <w:style w:type="character" w:customStyle="1" w:styleId="ListLabel9">
    <w:name w:val="ListLabel 9"/>
    <w:qFormat/>
    <w:rsid w:val="00D91D58"/>
    <w:rPr>
      <w:b/>
    </w:rPr>
  </w:style>
  <w:style w:type="character" w:customStyle="1" w:styleId="ListLabel10">
    <w:name w:val="ListLabel 10"/>
    <w:qFormat/>
    <w:rsid w:val="00D91D58"/>
    <w:rPr>
      <w:b/>
      <w:color w:val="auto"/>
    </w:rPr>
  </w:style>
  <w:style w:type="character" w:customStyle="1" w:styleId="ListLabel11">
    <w:name w:val="ListLabel 11"/>
    <w:qFormat/>
    <w:rsid w:val="00D91D58"/>
    <w:rPr>
      <w:b/>
      <w:sz w:val="20"/>
      <w:szCs w:val="20"/>
    </w:rPr>
  </w:style>
  <w:style w:type="character" w:customStyle="1" w:styleId="ListLabel12">
    <w:name w:val="ListLabel 12"/>
    <w:qFormat/>
    <w:rsid w:val="00D91D58"/>
    <w:rPr>
      <w:b/>
    </w:rPr>
  </w:style>
  <w:style w:type="character" w:customStyle="1" w:styleId="ListLabel13">
    <w:name w:val="ListLabel 13"/>
    <w:qFormat/>
    <w:rsid w:val="00D91D58"/>
    <w:rPr>
      <w:b/>
    </w:rPr>
  </w:style>
  <w:style w:type="character" w:customStyle="1" w:styleId="ListLabel14">
    <w:name w:val="ListLabel 14"/>
    <w:qFormat/>
    <w:rsid w:val="00D91D58"/>
    <w:rPr>
      <w:b/>
      <w:color w:val="auto"/>
    </w:rPr>
  </w:style>
  <w:style w:type="character" w:customStyle="1" w:styleId="ListLabel15">
    <w:name w:val="ListLabel 15"/>
    <w:qFormat/>
    <w:rsid w:val="00D91D58"/>
    <w:rPr>
      <w:b/>
    </w:rPr>
  </w:style>
  <w:style w:type="character" w:customStyle="1" w:styleId="ListLabel16">
    <w:name w:val="ListLabel 16"/>
    <w:qFormat/>
    <w:rsid w:val="00D91D58"/>
    <w:rPr>
      <w:rFonts w:asciiTheme="minorHAnsi" w:eastAsia="Arial" w:hAnsiTheme="minorHAnsi"/>
      <w:lang w:val="en-US"/>
    </w:rPr>
  </w:style>
  <w:style w:type="character" w:customStyle="1" w:styleId="ListLabel17">
    <w:name w:val="ListLabel 17"/>
    <w:qFormat/>
    <w:rsid w:val="00D91D58"/>
    <w:rPr>
      <w:rFonts w:asciiTheme="minorHAnsi" w:eastAsia="Arial" w:hAnsiTheme="minorHAnsi"/>
    </w:rPr>
  </w:style>
  <w:style w:type="character" w:customStyle="1" w:styleId="ListLabel18">
    <w:name w:val="ListLabel 18"/>
    <w:qFormat/>
    <w:rsid w:val="00D91D58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D91D58"/>
    <w:rPr>
      <w:rFonts w:ascii="Calibri" w:hAnsi="Calibri"/>
      <w:b/>
      <w:color w:val="auto"/>
    </w:rPr>
  </w:style>
  <w:style w:type="character" w:customStyle="1" w:styleId="ListLabel20">
    <w:name w:val="ListLabel 20"/>
    <w:qFormat/>
    <w:rsid w:val="00D91D58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D91D58"/>
    <w:rPr>
      <w:rFonts w:ascii="Calibri" w:hAnsi="Calibri"/>
      <w:b/>
    </w:rPr>
  </w:style>
  <w:style w:type="character" w:customStyle="1" w:styleId="ListLabel22">
    <w:name w:val="ListLabel 22"/>
    <w:qFormat/>
    <w:rsid w:val="00D91D58"/>
    <w:rPr>
      <w:rFonts w:ascii="Calibri" w:hAnsi="Calibri"/>
      <w:b/>
    </w:rPr>
  </w:style>
  <w:style w:type="character" w:customStyle="1" w:styleId="ListLabel23">
    <w:name w:val="ListLabel 23"/>
    <w:qFormat/>
    <w:rsid w:val="00D91D58"/>
    <w:rPr>
      <w:rFonts w:ascii="Calibri" w:hAnsi="Calibri"/>
      <w:b/>
      <w:sz w:val="20"/>
      <w:szCs w:val="20"/>
    </w:rPr>
  </w:style>
  <w:style w:type="character" w:customStyle="1" w:styleId="ListLabel24">
    <w:name w:val="ListLabel 24"/>
    <w:qFormat/>
    <w:rsid w:val="00D91D58"/>
    <w:rPr>
      <w:rFonts w:eastAsia="Arial"/>
      <w:lang w:val="en-US"/>
    </w:rPr>
  </w:style>
  <w:style w:type="character" w:customStyle="1" w:styleId="ListLabel25">
    <w:name w:val="ListLabel 25"/>
    <w:qFormat/>
    <w:rsid w:val="00D91D58"/>
    <w:rPr>
      <w:rFonts w:eastAsia="Arial"/>
    </w:rPr>
  </w:style>
  <w:style w:type="paragraph" w:styleId="Ttulo">
    <w:name w:val="Title"/>
    <w:basedOn w:val="Normal"/>
    <w:next w:val="Corpodetexto"/>
    <w:qFormat/>
    <w:rsid w:val="00D91D5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D91D58"/>
    <w:pPr>
      <w:spacing w:after="140" w:line="276" w:lineRule="auto"/>
    </w:pPr>
  </w:style>
  <w:style w:type="paragraph" w:styleId="Lista">
    <w:name w:val="List"/>
    <w:basedOn w:val="Corpodetexto"/>
    <w:rsid w:val="00D91D58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91D58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91D58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474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79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D3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2F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742F"/>
  </w:style>
  <w:style w:type="character" w:customStyle="1" w:styleId="RodapChar">
    <w:name w:val="Rodapé Char"/>
    <w:basedOn w:val="Fontepargpadro"/>
    <w:link w:val="Rodap"/>
    <w:uiPriority w:val="99"/>
    <w:qFormat/>
    <w:rsid w:val="0004742F"/>
  </w:style>
  <w:style w:type="character" w:customStyle="1" w:styleId="LinkdaInternet">
    <w:name w:val="Link da Internet"/>
    <w:uiPriority w:val="99"/>
    <w:unhideWhenUsed/>
    <w:rsid w:val="0004742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979EB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color w:val="auto"/>
    </w:rPr>
  </w:style>
  <w:style w:type="character" w:customStyle="1" w:styleId="ListLabel11">
    <w:name w:val="ListLabel 11"/>
    <w:qFormat/>
    <w:rPr>
      <w:b/>
      <w:sz w:val="20"/>
      <w:szCs w:val="2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asciiTheme="minorHAnsi" w:eastAsia="Arial" w:hAnsiTheme="minorHAnsi"/>
      <w:lang w:val="en-US"/>
    </w:rPr>
  </w:style>
  <w:style w:type="character" w:customStyle="1" w:styleId="ListLabel17">
    <w:name w:val="ListLabel 17"/>
    <w:qFormat/>
    <w:rPr>
      <w:rFonts w:asciiTheme="minorHAnsi" w:eastAsia="Arial" w:hAnsiTheme="minorHAnsi"/>
    </w:rPr>
  </w:style>
  <w:style w:type="character" w:customStyle="1" w:styleId="ListLabel18">
    <w:name w:val="ListLabel 18"/>
    <w:qFormat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Pr>
      <w:rFonts w:ascii="Calibri" w:hAnsi="Calibri"/>
      <w:b/>
      <w:color w:val="auto"/>
    </w:rPr>
  </w:style>
  <w:style w:type="character" w:customStyle="1" w:styleId="ListLabel20">
    <w:name w:val="ListLabel 20"/>
    <w:qFormat/>
    <w:rPr>
      <w:rFonts w:ascii="Calibri" w:hAnsi="Calibri"/>
      <w:b/>
      <w:color w:val="auto"/>
    </w:rPr>
  </w:style>
  <w:style w:type="character" w:customStyle="1" w:styleId="ListLabel21">
    <w:name w:val="ListLabel 21"/>
    <w:qFormat/>
    <w:rPr>
      <w:rFonts w:ascii="Calibri" w:hAnsi="Calibri"/>
      <w:b/>
    </w:rPr>
  </w:style>
  <w:style w:type="character" w:customStyle="1" w:styleId="ListLabel22">
    <w:name w:val="ListLabel 22"/>
    <w:qFormat/>
    <w:rPr>
      <w:rFonts w:ascii="Calibri" w:hAnsi="Calibri"/>
      <w:b/>
    </w:rPr>
  </w:style>
  <w:style w:type="character" w:customStyle="1" w:styleId="ListLabel23">
    <w:name w:val="ListLabel 23"/>
    <w:qFormat/>
    <w:rPr>
      <w:rFonts w:ascii="Calibri" w:hAnsi="Calibri"/>
      <w:b/>
      <w:sz w:val="20"/>
      <w:szCs w:val="20"/>
    </w:rPr>
  </w:style>
  <w:style w:type="character" w:customStyle="1" w:styleId="ListLabel24">
    <w:name w:val="ListLabel 24"/>
    <w:qFormat/>
    <w:rPr>
      <w:rFonts w:eastAsia="Arial"/>
      <w:lang w:val="en-US"/>
    </w:rPr>
  </w:style>
  <w:style w:type="character" w:customStyle="1" w:styleId="ListLabel25">
    <w:name w:val="ListLabel 25"/>
    <w:qFormat/>
    <w:rPr>
      <w:rFonts w:eastAsia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4742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474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979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D3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/sancoes/ceis?ordenarPor=nome&amp;direcao=as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stao.cge.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9503-F9ED-4F69-84CE-7A2BA8D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1534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Adelvy</cp:lastModifiedBy>
  <cp:revision>26</cp:revision>
  <cp:lastPrinted>2019-09-12T19:10:00Z</cp:lastPrinted>
  <dcterms:created xsi:type="dcterms:W3CDTF">2017-08-29T19:15:00Z</dcterms:created>
  <dcterms:modified xsi:type="dcterms:W3CDTF">2020-04-06T13:54:00Z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