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CA" w:rsidRPr="009162FC" w:rsidRDefault="00355B39">
      <w:pPr>
        <w:spacing w:after="101"/>
        <w:ind w:left="0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</w:rPr>
        <w:t>CHECK</w:t>
      </w:r>
      <w:r w:rsidR="00FB5845" w:rsidRPr="009162FC">
        <w:rPr>
          <w:rFonts w:ascii="Times New Roman" w:hAnsi="Times New Roman" w:cs="Times New Roman"/>
          <w:b/>
          <w:szCs w:val="20"/>
        </w:rPr>
        <w:t xml:space="preserve">LIST </w:t>
      </w:r>
    </w:p>
    <w:p w:rsidR="002F2ACA" w:rsidRPr="009162FC" w:rsidRDefault="002F2ACA">
      <w:pPr>
        <w:ind w:left="58" w:firstLine="0"/>
        <w:jc w:val="center"/>
        <w:rPr>
          <w:rFonts w:ascii="Times New Roman" w:hAnsi="Times New Roman" w:cs="Times New Roman"/>
          <w:szCs w:val="20"/>
        </w:rPr>
      </w:pPr>
    </w:p>
    <w:p w:rsidR="009162FC" w:rsidRDefault="00FB5845">
      <w:pPr>
        <w:spacing w:after="2" w:line="362" w:lineRule="auto"/>
        <w:ind w:left="2408" w:right="2352" w:firstLine="0"/>
        <w:jc w:val="center"/>
        <w:rPr>
          <w:rFonts w:ascii="Times New Roman" w:hAnsi="Times New Roman" w:cs="Times New Roman"/>
          <w:b/>
          <w:szCs w:val="20"/>
          <w:u w:val="single" w:color="000000"/>
        </w:rPr>
      </w:pPr>
      <w:r w:rsidRPr="009162FC">
        <w:rPr>
          <w:rFonts w:ascii="Times New Roman" w:hAnsi="Times New Roman" w:cs="Times New Roman"/>
          <w:b/>
          <w:szCs w:val="20"/>
          <w:u w:val="single" w:color="000000"/>
        </w:rPr>
        <w:t xml:space="preserve">Dispensa de Licitação </w:t>
      </w:r>
    </w:p>
    <w:p w:rsidR="009162FC" w:rsidRDefault="00FB5845">
      <w:pPr>
        <w:spacing w:after="2" w:line="362" w:lineRule="auto"/>
        <w:ind w:left="2408" w:right="2352" w:firstLine="0"/>
        <w:jc w:val="center"/>
        <w:rPr>
          <w:rFonts w:ascii="Times New Roman" w:hAnsi="Times New Roman" w:cs="Times New Roman"/>
          <w:b/>
          <w:szCs w:val="20"/>
        </w:rPr>
      </w:pPr>
      <w:r w:rsidRPr="009162FC">
        <w:rPr>
          <w:rFonts w:ascii="Times New Roman" w:hAnsi="Times New Roman" w:cs="Times New Roman"/>
          <w:b/>
          <w:szCs w:val="20"/>
          <w:u w:val="single" w:color="000000"/>
        </w:rPr>
        <w:t>Emergência</w:t>
      </w:r>
      <w:r w:rsidR="009162FC">
        <w:rPr>
          <w:rFonts w:ascii="Times New Roman" w:hAnsi="Times New Roman" w:cs="Times New Roman"/>
          <w:b/>
          <w:szCs w:val="20"/>
          <w:u w:val="single" w:color="000000"/>
        </w:rPr>
        <w:t xml:space="preserve"> ou Calamidade Pública</w:t>
      </w:r>
      <w:r w:rsidRPr="009162FC">
        <w:rPr>
          <w:rFonts w:ascii="Times New Roman" w:hAnsi="Times New Roman" w:cs="Times New Roman"/>
          <w:b/>
          <w:szCs w:val="20"/>
        </w:rPr>
        <w:t xml:space="preserve"> </w:t>
      </w:r>
    </w:p>
    <w:p w:rsidR="002F2ACA" w:rsidRPr="009162FC" w:rsidRDefault="002F2ACA">
      <w:pPr>
        <w:ind w:left="0" w:firstLine="0"/>
        <w:jc w:val="left"/>
        <w:rPr>
          <w:rFonts w:ascii="Times New Roman" w:hAnsi="Times New Roman" w:cs="Times New Roman"/>
          <w:szCs w:val="20"/>
        </w:rPr>
      </w:pPr>
    </w:p>
    <w:p w:rsidR="002F2ACA" w:rsidRPr="009162FC" w:rsidRDefault="00FB5845">
      <w:pPr>
        <w:spacing w:after="96"/>
        <w:ind w:left="0" w:firstLine="0"/>
        <w:jc w:val="left"/>
        <w:rPr>
          <w:rFonts w:ascii="Times New Roman" w:hAnsi="Times New Roman" w:cs="Times New Roman"/>
          <w:szCs w:val="20"/>
        </w:rPr>
      </w:pPr>
      <w:r w:rsidRPr="009162FC">
        <w:rPr>
          <w:rFonts w:ascii="Times New Roman" w:hAnsi="Times New Roman" w:cs="Times New Roman"/>
          <w:szCs w:val="20"/>
        </w:rPr>
        <w:t xml:space="preserve"> </w:t>
      </w:r>
    </w:p>
    <w:p w:rsidR="002F2ACA" w:rsidRPr="00355B39" w:rsidRDefault="00FB5845">
      <w:pPr>
        <w:ind w:left="-5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 xml:space="preserve">Órgão/Entidade: ____________________________________________________________________________ </w:t>
      </w:r>
    </w:p>
    <w:p w:rsidR="009162FC" w:rsidRPr="00355B39" w:rsidRDefault="00FB5845">
      <w:pPr>
        <w:ind w:left="-5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>Processo nº: __________________________________</w:t>
      </w:r>
      <w:r w:rsidR="009162FC" w:rsidRPr="00355B39">
        <w:rPr>
          <w:rFonts w:ascii="Times New Roman" w:hAnsi="Times New Roman" w:cs="Times New Roman"/>
          <w:sz w:val="18"/>
          <w:szCs w:val="18"/>
        </w:rPr>
        <w:t xml:space="preserve"> Valor: R$ __</w:t>
      </w:r>
      <w:r w:rsidRPr="00355B39">
        <w:rPr>
          <w:rFonts w:ascii="Times New Roman" w:hAnsi="Times New Roman" w:cs="Times New Roman"/>
          <w:sz w:val="18"/>
          <w:szCs w:val="18"/>
        </w:rPr>
        <w:t>___</w:t>
      </w:r>
      <w:r w:rsidR="006A0DD9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F2ACA" w:rsidRDefault="009162FC">
      <w:pPr>
        <w:ind w:left="-5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>Justificativa: _______________________________________________________________________________</w:t>
      </w:r>
      <w:r w:rsidR="00FB5845" w:rsidRPr="00355B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A0DD9" w:rsidRPr="00355B39" w:rsidRDefault="006A0DD9">
      <w:pPr>
        <w:ind w:left="-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Objeto: ___________________________________________________________________________________</w:t>
      </w:r>
    </w:p>
    <w:p w:rsidR="002F2ACA" w:rsidRPr="00355B39" w:rsidRDefault="00FB5845">
      <w:pPr>
        <w:spacing w:after="96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ACA" w:rsidRPr="00355B39" w:rsidRDefault="00FB5845">
      <w:pPr>
        <w:spacing w:after="20" w:line="360" w:lineRule="auto"/>
        <w:ind w:left="-5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b/>
          <w:sz w:val="18"/>
          <w:szCs w:val="18"/>
        </w:rPr>
        <w:t xml:space="preserve">Lei </w:t>
      </w:r>
      <w:r w:rsidR="009162FC" w:rsidRPr="00355B39">
        <w:rPr>
          <w:rFonts w:ascii="Times New Roman" w:hAnsi="Times New Roman" w:cs="Times New Roman"/>
          <w:b/>
          <w:sz w:val="18"/>
          <w:szCs w:val="18"/>
        </w:rPr>
        <w:t>Federal n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º 8.666/93, Art. 24, inciso IV </w:t>
      </w:r>
      <w:r w:rsidRPr="00355B39">
        <w:rPr>
          <w:rFonts w:ascii="Times New Roman" w:hAnsi="Times New Roman" w:cs="Times New Roman"/>
          <w:sz w:val="18"/>
          <w:szCs w:val="18"/>
        </w:rPr>
        <w:t>- nos casos de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5B39">
        <w:rPr>
          <w:rFonts w:ascii="Times New Roman" w:hAnsi="Times New Roman" w:cs="Times New Roman"/>
          <w:b/>
          <w:sz w:val="18"/>
          <w:szCs w:val="18"/>
          <w:u w:val="single" w:color="000000"/>
        </w:rPr>
        <w:t>emergência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5B39">
        <w:rPr>
          <w:rFonts w:ascii="Times New Roman" w:hAnsi="Times New Roman" w:cs="Times New Roman"/>
          <w:sz w:val="18"/>
          <w:szCs w:val="18"/>
        </w:rPr>
        <w:t xml:space="preserve">ou de </w:t>
      </w:r>
      <w:r w:rsidRPr="00355B39">
        <w:rPr>
          <w:rFonts w:ascii="Times New Roman" w:hAnsi="Times New Roman" w:cs="Times New Roman"/>
          <w:b/>
          <w:sz w:val="18"/>
          <w:szCs w:val="18"/>
          <w:u w:val="single"/>
        </w:rPr>
        <w:t>calamidade pública</w:t>
      </w:r>
      <w:r w:rsidRPr="00355B39">
        <w:rPr>
          <w:rFonts w:ascii="Times New Roman" w:hAnsi="Times New Roman" w:cs="Times New Roman"/>
          <w:sz w:val="18"/>
          <w:szCs w:val="18"/>
        </w:rPr>
        <w:t>, quando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55B39">
        <w:rPr>
          <w:rFonts w:ascii="Times New Roman" w:hAnsi="Times New Roman" w:cs="Times New Roman"/>
          <w:sz w:val="18"/>
          <w:szCs w:val="18"/>
        </w:rPr>
        <w:t>caracterizada</w:t>
      </w:r>
      <w:proofErr w:type="gramEnd"/>
      <w:r w:rsidRPr="00355B3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55B39">
        <w:rPr>
          <w:rFonts w:ascii="Times New Roman" w:hAnsi="Times New Roman" w:cs="Times New Roman"/>
          <w:sz w:val="18"/>
          <w:szCs w:val="18"/>
        </w:rPr>
        <w:t>urgência</w:t>
      </w:r>
      <w:proofErr w:type="gramEnd"/>
      <w:r w:rsidRPr="00355B39">
        <w:rPr>
          <w:rFonts w:ascii="Times New Roman" w:hAnsi="Times New Roman" w:cs="Times New Roman"/>
          <w:sz w:val="18"/>
          <w:szCs w:val="18"/>
        </w:rPr>
        <w:t xml:space="preserve">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</w:t>
      </w:r>
      <w:r w:rsidRPr="00355B39">
        <w:rPr>
          <w:rFonts w:ascii="Times New Roman" w:hAnsi="Times New Roman" w:cs="Times New Roman"/>
          <w:b/>
          <w:sz w:val="18"/>
          <w:szCs w:val="18"/>
          <w:u w:val="single" w:color="000000"/>
        </w:rPr>
        <w:t>no prazo máximo de 180 (cento e oitenta)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5B39">
        <w:rPr>
          <w:rFonts w:ascii="Times New Roman" w:hAnsi="Times New Roman" w:cs="Times New Roman"/>
          <w:b/>
          <w:sz w:val="18"/>
          <w:szCs w:val="18"/>
          <w:u w:val="single" w:color="000000"/>
        </w:rPr>
        <w:t>dias consecutivos e ininterruptos, contados da ocorrência da emergência ou calamidade</w:t>
      </w: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55B39">
        <w:rPr>
          <w:rFonts w:ascii="Times New Roman" w:hAnsi="Times New Roman" w:cs="Times New Roman"/>
          <w:b/>
          <w:sz w:val="18"/>
          <w:szCs w:val="18"/>
          <w:u w:val="single" w:color="000000"/>
        </w:rPr>
        <w:t>vedada a prorrogação dos respectivos contratos</w:t>
      </w:r>
      <w:r w:rsidRPr="00355B39">
        <w:rPr>
          <w:rFonts w:ascii="Times New Roman" w:hAnsi="Times New Roman" w:cs="Times New Roman"/>
          <w:sz w:val="18"/>
          <w:szCs w:val="18"/>
          <w:u w:val="single" w:color="000000"/>
        </w:rPr>
        <w:t>.</w:t>
      </w:r>
      <w:r w:rsidRPr="00355B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ACA" w:rsidRPr="00355B39" w:rsidRDefault="00FB5845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F2ACA" w:rsidRPr="00355B39" w:rsidRDefault="00FB5845">
      <w:pPr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F2ACA" w:rsidRPr="00355B39" w:rsidRDefault="00FB5845">
      <w:pPr>
        <w:pStyle w:val="Ttulo1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 xml:space="preserve">Legenda: S = Sim; N = Não; NA = Não se </w:t>
      </w:r>
      <w:proofErr w:type="gramStart"/>
      <w:r w:rsidRPr="00355B39">
        <w:rPr>
          <w:rFonts w:ascii="Times New Roman" w:hAnsi="Times New Roman" w:cs="Times New Roman"/>
          <w:sz w:val="18"/>
          <w:szCs w:val="18"/>
        </w:rPr>
        <w:t>Aplica</w:t>
      </w:r>
      <w:proofErr w:type="gramEnd"/>
      <w:r w:rsidRPr="00355B39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" w:type="dxa"/>
          <w:left w:w="65" w:type="dxa"/>
          <w:right w:w="59" w:type="dxa"/>
        </w:tblCellMar>
        <w:tblLook w:val="04A0" w:firstRow="1" w:lastRow="0" w:firstColumn="1" w:lastColumn="0" w:noHBand="0" w:noVBand="1"/>
      </w:tblPr>
      <w:tblGrid>
        <w:gridCol w:w="5738"/>
        <w:gridCol w:w="1986"/>
        <w:gridCol w:w="846"/>
        <w:gridCol w:w="625"/>
      </w:tblGrid>
      <w:tr w:rsidR="00EF5091" w:rsidRPr="00355B39" w:rsidTr="00EF5091">
        <w:trPr>
          <w:trHeight w:val="539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F4229" w:rsidRPr="00355B39" w:rsidRDefault="00FB5845" w:rsidP="007F4229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Exigências para Formalização de Procedimentos para Dispensa de Licitação</w:t>
            </w:r>
            <w:r w:rsidR="003773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na situação de</w:t>
            </w:r>
          </w:p>
          <w:p w:rsidR="002F2ACA" w:rsidRPr="00355B39" w:rsidRDefault="00FB5845" w:rsidP="007F4229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Emergência</w:t>
            </w:r>
            <w:r w:rsidR="007F4229"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ou Calamidade Pública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8"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29" w:right="4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-69" w:right="-5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7F4229" w:rsidRPr="00355B39" w:rsidTr="00FD537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F4229" w:rsidRPr="00355B39" w:rsidRDefault="007F4229" w:rsidP="007F4229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2F2ACA" w:rsidRPr="00355B39" w:rsidTr="003773CF">
        <w:trPr>
          <w:trHeight w:val="143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3773CF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505" w:right="14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processo de contratação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foi devidamente autuado, protocolado e com numeração de folhas, constando carimbo do órgão e visto do responsável? E se houve apensamento de um novo volume, obedeceu 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quantidade máxima de folhas, mediante termo de encerramento e abertura? (Art. 38, 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="00355B39">
              <w:rPr>
                <w:rFonts w:ascii="Times New Roman" w:hAnsi="Times New Roman" w:cs="Times New Roman"/>
                <w:sz w:val="18"/>
                <w:szCs w:val="18"/>
              </w:rPr>
              <w:t xml:space="preserve">, da Lei nº 8.666/93 e </w:t>
            </w:r>
            <w:r w:rsidR="00355B3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47</w:t>
            </w:r>
            <w:r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do Decreto</w:t>
            </w:r>
            <w:r w:rsidR="007F422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Orçamentário</w:t>
            </w:r>
            <w:r w:rsidR="00355B3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proofErr w:type="gramStart"/>
            <w:r w:rsidR="003773CF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4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4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3358EE">
        <w:trPr>
          <w:trHeight w:val="126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4" w:righ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 justificativa</w:t>
            </w:r>
            <w:r w:rsidRPr="00355B39">
              <w:rPr>
                <w:rStyle w:val="ncoradanotaderodap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que caracterize a situação emergencial ou calamitosa que evidencia a urgência, demonstrando que a contratação imediata é via adequada e suficiente à eliminação do risco provocado pela situação de emergência ou calamidade pública? (Art. 26, § único, inc. I da Lei nº 8.666/93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4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4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processo de contratação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contém a indicação do recurso próprio para a despesa? (Art. 14 e 38, 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da Lei nº 8.666/93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BD45FF">
        <w:trPr>
          <w:trHeight w:val="126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6A0DD9" w:rsidP="00BD45FF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</w:t>
            </w:r>
            <w:r w:rsidR="00FB5845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onsta no </w:t>
            </w:r>
            <w:r w:rsidR="00FB5845"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termo de referência ou projeto básico</w:t>
            </w:r>
            <w:r w:rsidR="00FB5845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45" w:rsidRPr="00BD45FF">
              <w:rPr>
                <w:rFonts w:ascii="Times New Roman" w:hAnsi="Times New Roman" w:cs="Times New Roman"/>
                <w:sz w:val="18"/>
                <w:szCs w:val="18"/>
              </w:rPr>
              <w:t>definido o objeto da contratação, os critérios de aceitação das propostas,</w:t>
            </w:r>
            <w:r w:rsidR="00FB5845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inclusive com a fixação dos prazos e condições para fornecimento e aceitação? (Art. 14, caput e Art. 7</w:t>
            </w:r>
            <w:r w:rsidR="00355B39">
              <w:rPr>
                <w:rFonts w:ascii="Times New Roman" w:hAnsi="Times New Roman" w:cs="Times New Roman"/>
                <w:sz w:val="18"/>
                <w:szCs w:val="18"/>
              </w:rPr>
              <w:t>º, inciso I, da Lei nº 8.666/93 e,</w:t>
            </w:r>
            <w:r w:rsidR="00FB5845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5845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</w:t>
            </w:r>
            <w:r w:rsidR="00355B3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27 e 35</w:t>
            </w:r>
            <w:r w:rsidR="00FB5845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Dec</w:t>
            </w:r>
            <w:r w:rsidR="007F422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</w:t>
            </w:r>
            <w:r w:rsidR="00355B39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proofErr w:type="gramStart"/>
            <w:r w:rsidR="00FB5845" w:rsidRPr="003358E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2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BB282A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O Termo de Referência foi devidamente aprovado pel</w:t>
            </w:r>
            <w:r w:rsidR="003B4877">
              <w:rPr>
                <w:rFonts w:ascii="Times New Roman" w:hAnsi="Times New Roman" w:cs="Times New Roman"/>
                <w:sz w:val="18"/>
                <w:szCs w:val="18"/>
              </w:rPr>
              <w:t>o ordenador de despesas? (</w:t>
            </w:r>
            <w:r w:rsidR="003B4877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14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º, inc.</w:t>
            </w:r>
            <w:r w:rsidR="00355B39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II, do Decreto Federal nº 10.024/2019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c/c art. 7º, § 2º, inciso I, da Lei nº 8.666/93,</w:t>
            </w:r>
            <w:r w:rsidRPr="00BB282A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  <w:r w:rsidR="00355B39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35, paragrafo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único do Dec</w:t>
            </w:r>
            <w:r w:rsidR="007F4229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 nº</w:t>
            </w:r>
            <w:r w:rsidR="00355B39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6.046/2020</w:t>
            </w:r>
            <w:proofErr w:type="gramStart"/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  <w:r w:rsidRPr="00BB282A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4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Há definição das unidades, quantidades a serem adquiridas e cronograma de entrega em função do consumo e utilização prováveis? (Art. 15, § 7º, inc. II, Lei nº 8.666/93)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BB282A">
        <w:trPr>
          <w:trHeight w:val="123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AC4A43" w:rsidP="00BB282A">
            <w:pPr>
              <w:numPr>
                <w:ilvl w:val="0"/>
                <w:numId w:val="1"/>
              </w:numPr>
              <w:spacing w:after="0" w:line="276" w:lineRule="auto"/>
              <w:ind w:left="637"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Em se tratando de aquisição e locação de bens e serviços de Tecnologia da Informação e Comunicação - TIC, consta a prévia aprovação da Agência de Tecnologia da Informação – ATI-TO, na conformidade da legislação específica, conforme prevê </w:t>
            </w:r>
            <w:r w:rsidR="00C607E0" w:rsidRPr="00BB282A">
              <w:rPr>
                <w:rFonts w:ascii="Times New Roman" w:hAnsi="Times New Roman" w:cs="Times New Roman"/>
                <w:color w:val="auto"/>
                <w:szCs w:val="20"/>
              </w:rPr>
              <w:t xml:space="preserve">o </w:t>
            </w:r>
            <w:r w:rsidR="003B4877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art. 12, inciso I, alínea “c”, 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De</w:t>
            </w:r>
            <w:r w:rsidR="00BB282A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creto Orçamentário nº 6.046/2020</w:t>
            </w:r>
            <w:r w:rsidR="00FB5845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?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4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tabs>
                <w:tab w:val="center" w:pos="3325"/>
              </w:tabs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 ampla pesquisa de mercado efetuada na própria administração pública? (Art. 15, inc. V, da Lei 8.666/93)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4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dos autos a justificativa de que os preços estimados são os mais vantajosos para a Administração Pública? (Art. 26, inc. 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III, Lei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nº 8.666/93)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BB282A">
        <w:trPr>
          <w:trHeight w:val="270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Existe documentação comprobatória que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caracterize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a ocorrência de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situação emergencial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que reclama solução imediata, tal que a realização de licitação causaria potencial prejuízo relevante e irreparável ao órgão ou entidade, ou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comprometa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a segurança de pessoas, obras, serviços ou bens, ou, ainda, provocaria 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paralisação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prejudicaria 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regularidade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de suas atividades específicas? (Art.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26, 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§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único, I, da Lei Federal n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8.666/1993 e Decisão TCU nº. 347, de 1/6/94, c/c Súmula TCU nº. 222, e também, Doutrina de Marçal </w:t>
            </w:r>
            <w:proofErr w:type="spell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Justen</w:t>
            </w:r>
            <w:proofErr w:type="spell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Filho, 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Comentários à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Lei de Licitações e Contratos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Administrativos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”, SP: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Dialética, 2000, pág. 239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Em caso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de medicamento, demonstrar por meio de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documento pertinente 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inexistência do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medicamento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no estoque regulador.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6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AUTORIZAÇÃO </w:t>
            </w:r>
          </w:p>
        </w:tc>
      </w:tr>
      <w:tr w:rsidR="00EF5091" w:rsidRPr="00355B39" w:rsidTr="00EF5091">
        <w:trPr>
          <w:trHeight w:val="806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BB282A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Consta manifestação da liberação da despesa pelo Grupo Executivo para Gestão e Equilíbr</w:t>
            </w:r>
            <w:r w:rsidR="003B487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io do Gasto Público? (Art. 2º, paragrafo</w:t>
            </w:r>
            <w:r w:rsidRPr="00355B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único do Decreto </w:t>
            </w:r>
            <w:r w:rsidR="00FD53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Estadual </w:t>
            </w:r>
            <w:r w:rsidRPr="00355B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nº 5.842/18;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24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inc. 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III e 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IV do Decreto </w:t>
            </w:r>
            <w:r w:rsidR="00AC4A43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Orçamentário 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nº 6.046/2020</w:t>
            </w:r>
            <w:proofErr w:type="gramStart"/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5091" w:rsidRPr="00355B39" w:rsidTr="00EF5091">
        <w:trPr>
          <w:trHeight w:val="806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BB282A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Detalhamento d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Dotação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DD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e/ou declaração orçamentária, quando se tratar de recursos relativos</w:t>
            </w:r>
            <w:r w:rsidR="00FD5370">
              <w:rPr>
                <w:rFonts w:ascii="Times New Roman" w:hAnsi="Times New Roman" w:cs="Times New Roman"/>
                <w:sz w:val="18"/>
                <w:szCs w:val="18"/>
              </w:rPr>
              <w:t xml:space="preserve"> ao exercício seguinte? 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(Art. 24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inciso I do Dec</w:t>
            </w:r>
            <w:r w:rsidR="00AC4A43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proofErr w:type="gramStart"/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BB282A">
        <w:trPr>
          <w:trHeight w:val="85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BB282A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Solicitação de Compras, com todos os campos preenchidos e devidamente autorizada pelos </w:t>
            </w:r>
            <w:r w:rsidR="00FD5370">
              <w:rPr>
                <w:rFonts w:ascii="Times New Roman" w:hAnsi="Times New Roman" w:cs="Times New Roman"/>
                <w:sz w:val="18"/>
                <w:szCs w:val="18"/>
              </w:rPr>
              <w:t>responsáveis? (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24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inc. II 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e art. 59</w:t>
            </w:r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inc. II do Dec</w:t>
            </w:r>
            <w:r w:rsidR="00AC4A43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</w:t>
            </w:r>
            <w:r w:rsidR="00FD5370"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proofErr w:type="gramStart"/>
            <w:r w:rsidRPr="00BB282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1596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Existe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declaração do ordenador de que o aumento da despesa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tem adequação orçamentária e financeira com a LOA e compatibilidade com o PPA e com a LDO nas hipóteses de criação, expansão ou aperfeiçoamento de ação governamental que acarrete em aumento de despesa? (Art. 16, inc. II, da Lei Compl. n° 101/2000)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AC4A43" w:rsidRPr="00355B39" w:rsidTr="00BB282A">
        <w:trPr>
          <w:trHeight w:val="1056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43" w:rsidRPr="00BB282A" w:rsidRDefault="00AC4A43" w:rsidP="00BB282A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BB282A">
              <w:rPr>
                <w:rFonts w:ascii="Times New Roman" w:hAnsi="Times New Roman" w:cs="Times New Roman"/>
                <w:sz w:val="18"/>
                <w:szCs w:val="18"/>
              </w:rPr>
              <w:t xml:space="preserve">Quanto à </w:t>
            </w:r>
            <w:r w:rsidRPr="00BB282A">
              <w:rPr>
                <w:rFonts w:ascii="Times New Roman" w:hAnsi="Times New Roman" w:cs="Times New Roman"/>
                <w:b/>
                <w:sz w:val="18"/>
                <w:szCs w:val="18"/>
              </w:rPr>
              <w:t>minuta do contrato</w:t>
            </w:r>
            <w:r w:rsidR="006A6EC8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BB282A">
              <w:rPr>
                <w:rFonts w:ascii="Times New Roman" w:hAnsi="Times New Roman" w:cs="Times New Roman"/>
                <w:sz w:val="18"/>
                <w:szCs w:val="18"/>
              </w:rPr>
              <w:t xml:space="preserve">, na hipótese de sua obrigatoriedade, atende aos termos da Lei Federal nº 8.666/93, </w:t>
            </w:r>
            <w:r w:rsidR="00FD5370" w:rsidRPr="00BB282A">
              <w:rPr>
                <w:rFonts w:ascii="Times New Roman" w:hAnsi="Times New Roman" w:cs="Times New Roman"/>
                <w:sz w:val="18"/>
                <w:szCs w:val="18"/>
              </w:rPr>
              <w:t xml:space="preserve">em seus </w:t>
            </w:r>
            <w:proofErr w:type="spellStart"/>
            <w:r w:rsidR="00FD5370" w:rsidRPr="00BB282A">
              <w:rPr>
                <w:rFonts w:ascii="Times New Roman" w:hAnsi="Times New Roman" w:cs="Times New Roman"/>
                <w:sz w:val="18"/>
                <w:szCs w:val="18"/>
              </w:rPr>
              <w:t>Arts</w:t>
            </w:r>
            <w:proofErr w:type="spellEnd"/>
            <w:r w:rsidR="00FD5370" w:rsidRPr="00BB2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282A">
              <w:rPr>
                <w:rFonts w:ascii="Times New Roman" w:hAnsi="Times New Roman" w:cs="Times New Roman"/>
                <w:sz w:val="18"/>
                <w:szCs w:val="18"/>
              </w:rPr>
              <w:t>38, parágrafo</w:t>
            </w:r>
            <w:proofErr w:type="gramEnd"/>
            <w:r w:rsidRPr="00BB282A">
              <w:rPr>
                <w:rFonts w:ascii="Times New Roman" w:hAnsi="Times New Roman" w:cs="Times New Roman"/>
                <w:sz w:val="18"/>
                <w:szCs w:val="18"/>
              </w:rPr>
              <w:t xml:space="preserve"> único e Art. 62, e foi avaliada pela Assessoria Jurídica do órgão?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43" w:rsidRPr="00355B39" w:rsidRDefault="00AC4A43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43" w:rsidRPr="00355B39" w:rsidRDefault="00AC4A43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A43" w:rsidRPr="00355B39" w:rsidRDefault="00AC4A43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ACA" w:rsidRPr="00355B39" w:rsidTr="003D0FB6">
        <w:trPr>
          <w:trHeight w:val="817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Existe manifestação prévia da Assessoria Jurídica do órgão quanto à legalidade do procedimento de dispensa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(Art. 1º, Dec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>reto Estadual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nº 4.733/13 c/c Art. 38, inc. VI, da Lei nº 8.666/93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4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SELEÇÃO/ESCOLHA </w:t>
            </w:r>
          </w:p>
        </w:tc>
      </w:tr>
      <w:tr w:rsidR="002F2ACA" w:rsidRPr="00355B39" w:rsidTr="00EF5091">
        <w:trPr>
          <w:trHeight w:val="80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Encontra-se anexado aos autos documento demonstrando a razão da escolha do fornecedor ou executante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(Art. 26, II, da Lei n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 w:rsidR="00AC4A43"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8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1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106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documentação relativa à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habilitação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jurídica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regularidade fiscal e trabalhista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quando couber? (Art. 29, da Lei nº 8.666/93, c/c ao Art. 195, §3º, da CF e Art. 2º, da Lei 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Federal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nº 9.012/95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3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Verificar a auten</w:t>
            </w:r>
            <w:r w:rsidR="00FD5370">
              <w:rPr>
                <w:rFonts w:ascii="Times New Roman" w:hAnsi="Times New Roman" w:cs="Times New Roman"/>
                <w:sz w:val="18"/>
                <w:szCs w:val="18"/>
              </w:rPr>
              <w:t>ti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cidade das certidões de Regularidades, fazendo busca nos respectivos sites.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F5091" w:rsidRPr="00C607E0" w:rsidTr="006A6EC8">
        <w:trPr>
          <w:trHeight w:val="1167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6A6EC8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 o comprovante de pesquisa, demonstrando que fora realizada a consulta no SICAF e CADIN, antes da assinatura do contrato nos moldes do art. 29, da Lei 8.666/93, assim como no CEIS e CNCIA, para a verificação da inidoneidade da empresa ou da pessoa física consultada</w:t>
            </w:r>
            <w:r w:rsidR="006A6EC8">
              <w:rPr>
                <w:rStyle w:val="Refdenotaderodap"/>
                <w:rFonts w:ascii="Times New Roman" w:hAnsi="Times New Roman" w:cs="Times New Roman"/>
                <w:sz w:val="18"/>
                <w:szCs w:val="18"/>
              </w:rPr>
              <w:footnoteReference w:id="3"/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</w:tr>
      <w:tr w:rsidR="002F2ACA" w:rsidRPr="00355B39" w:rsidTr="006A6EC8">
        <w:trPr>
          <w:trHeight w:val="803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1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Em caso de prestação de serviço, consta documentação relativa à qualificação técnica, que consistirá no registro ou inscrição na entidade profissional competente? (Art. 30, da Lei n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5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41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VALIDAÇÃO/RATIFICAÇÃO </w:t>
            </w:r>
          </w:p>
        </w:tc>
      </w:tr>
      <w:tr w:rsidR="002F2ACA" w:rsidRPr="00355B39" w:rsidTr="00EF5091">
        <w:trPr>
          <w:trHeight w:val="54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Quando a dispensa ocorrer por aquisição de medicamentos, consta documentação que demonstre a observância às disposições do Ministério da Saúde e Resoluções da Agência Nacional de Vigilância Sanitária, podendo ser dispensadas motivadamente quando se tratar de ações judiciais? (Portaria GM/MS nº 2.814/1998 e alterações)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1332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Para a aquisição de medicamentos foi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respeitado 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limite do preço do fabricante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de acordo com o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preço CAP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em caso de operações de vendas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efetivadas pelas empresas produtoras de medicamentos ou pelas distribuidoras,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conforme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Resolução CMED vigente ao evento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right="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1069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anexado 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Ato de Dispensa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assinado e datado pelo Ordenador de Despesas e publicado em imprensa oficial, sendo esta condição para a eficácia dos atos da gestão (Art. 26, 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>caput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da Lei nº 8.666/93)?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right="8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5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5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DA CONTRATUALIZAÇÃO </w:t>
            </w:r>
          </w:p>
        </w:tc>
      </w:tr>
      <w:tr w:rsidR="002F2ACA" w:rsidRPr="00355B39" w:rsidTr="00EF5091">
        <w:trPr>
          <w:trHeight w:val="80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59326D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IV, e a liberação da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Nota de Empenho - NE</w:t>
            </w:r>
            <w:r w:rsidR="001C04AC" w:rsidRPr="00355B39">
              <w:rPr>
                <w:rStyle w:val="Refdenotaderodap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que garanta as despesas previstas pa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>ra o exercício corrente? (Art. 6º, 11 e 12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º, inc. I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“a” do Dec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reto Orçamentário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 xml:space="preserve"> nº 6.046/2020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6A6EC8">
        <w:trPr>
          <w:trHeight w:val="52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2808F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original do contrato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6A6EC8">
        <w:trPr>
          <w:trHeight w:val="68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extrato do contrato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ou de instrumento equivalente (Art. 62, da Lei n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8.666/1993), foi publicado no DOE e seu comprovante foi anexado ao processo? (Art. 61, § único, da Lei n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8.666/1993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106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8F5871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9">
              <w:r w:rsidRPr="00355B39">
                <w:rPr>
                  <w:rStyle w:val="LinkdaInternet"/>
                  <w:rFonts w:ascii="Times New Roman" w:hAnsi="Times New Roman" w:cs="Times New Roman"/>
                  <w:sz w:val="18"/>
                  <w:szCs w:val="18"/>
                </w:rPr>
                <w:t>www.gestao.cge.to.gov.br</w:t>
              </w:r>
            </w:hyperlink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08F8" w:rsidRPr="00355B39">
              <w:rPr>
                <w:rFonts w:ascii="Times New Roman" w:hAnsi="Times New Roman" w:cs="Times New Roman"/>
                <w:sz w:val="18"/>
                <w:szCs w:val="18"/>
              </w:rPr>
              <w:t>, ou outro que vier a substitui-lo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>? (Art. 43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inc. IV, “c” do Dec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reto Orçamentário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 xml:space="preserve"> 6.046/2020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ACA" w:rsidRPr="00355B39" w:rsidTr="00FD5370">
        <w:trPr>
          <w:trHeight w:val="45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62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EXECUÇÃO DO OBJETO </w:t>
            </w:r>
          </w:p>
        </w:tc>
      </w:tr>
      <w:tr w:rsidR="002F2ACA" w:rsidRPr="00355B39" w:rsidTr="00EF5091">
        <w:trPr>
          <w:trHeight w:val="1017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6A6EC8" w:rsidRDefault="00FB5845" w:rsidP="006A6EC8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Portaria de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designação do fiscal do cont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rato e a publicação da mesma? (A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rt. 67, Lei nº 8.666/93)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F2ACA" w:rsidRPr="00355B39" w:rsidRDefault="00FB5845">
            <w:pPr>
              <w:spacing w:after="0"/>
              <w:ind w:left="637" w:right="82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>Obs. Rec</w:t>
            </w:r>
            <w:r w:rsidR="00593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omenda-se a utilização do </w:t>
            </w:r>
            <w:proofErr w:type="spellStart"/>
            <w:proofErr w:type="gramStart"/>
            <w:r w:rsidR="0059326D">
              <w:rPr>
                <w:rFonts w:ascii="Times New Roman" w:hAnsi="Times New Roman" w:cs="Times New Roman"/>
                <w:i/>
                <w:sz w:val="18"/>
                <w:szCs w:val="18"/>
              </w:rPr>
              <w:t>Check</w:t>
            </w:r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>List</w:t>
            </w:r>
            <w:proofErr w:type="spellEnd"/>
            <w:proofErr w:type="gramEnd"/>
            <w:r w:rsidRPr="00355B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especifico para fiscal de contrato, disponível no site desta Controladoria.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6C5458">
        <w:trPr>
          <w:trHeight w:val="1048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objeto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foi recebido 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provisoriamente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para efeito de verificação da conformidade e </w:t>
            </w:r>
            <w:r w:rsidRPr="00355B39"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definitivamente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após a verificação da qualidade e quantidade do material e consequente aceitação. 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 xml:space="preserve">Observados os critérios dos </w:t>
            </w:r>
            <w:proofErr w:type="spellStart"/>
            <w:r w:rsidR="0059326D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5932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73 e 74 da Lei 8.666/93?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4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nos autos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Ordem de Serviço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assinado pelo gestor, quando for o caso?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6C5458">
        <w:trPr>
          <w:trHeight w:val="56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6C5458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comprovante do lançamento da execução do contrato no SICAP-LO?  (IN </w:t>
            </w:r>
            <w:r w:rsidR="006C5458">
              <w:rPr>
                <w:rFonts w:ascii="Times New Roman" w:hAnsi="Times New Roman" w:cs="Times New Roman"/>
                <w:sz w:val="18"/>
                <w:szCs w:val="18"/>
              </w:rPr>
              <w:t xml:space="preserve">TCE- TO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nº. 010/2008</w:t>
            </w:r>
            <w:proofErr w:type="gramStart"/>
            <w:r w:rsidR="006C54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33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F2ACA" w:rsidRPr="00355B39" w:rsidRDefault="00FB5845">
            <w:pPr>
              <w:spacing w:after="0" w:line="240" w:lineRule="auto"/>
              <w:ind w:left="15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FISCALIZAÇÃO </w:t>
            </w:r>
          </w:p>
        </w:tc>
      </w:tr>
      <w:tr w:rsidR="002F2ACA" w:rsidRPr="00355B39" w:rsidTr="00EF5091">
        <w:trPr>
          <w:trHeight w:val="80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8F5871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(Art. 67, § 1º e §2º da Lei nº 8.666/93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804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8F5871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Constam os registros do fiscal de contrato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ou Relatório circunstanciado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, quanto o acompanhamento da execução do contrato? (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rt. 67, § 1º da Lei nº 8.666/93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6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6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FASE DE LIQUIDAÇÃO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39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Nota Fiscal – NF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, devidamente atestada? (A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rt. 15, §8º</w:t>
            </w:r>
            <w:proofErr w:type="gramStart"/>
            <w:r w:rsidR="006C54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Lei nº 8.666/93)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4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6C5458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Nota de Liquidação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NL,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com a descrição clara e su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>cinta do ato realizado? (</w:t>
            </w:r>
            <w:r w:rsidR="0059326D" w:rsidRPr="006C54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11</w:t>
            </w:r>
            <w:r w:rsidRPr="006C54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Decreto</w:t>
            </w:r>
            <w:r w:rsidR="008F5871" w:rsidRPr="006C54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Orçamentário</w:t>
            </w:r>
            <w:r w:rsidR="0059326D" w:rsidRPr="006C54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r w:rsidRPr="006C545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FD5370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2F2ACA" w:rsidRPr="00355B39" w:rsidRDefault="00FB5845">
            <w:pPr>
              <w:spacing w:after="0" w:line="240" w:lineRule="auto"/>
              <w:ind w:left="167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PAGAMENTO </w:t>
            </w:r>
          </w:p>
        </w:tc>
      </w:tr>
      <w:tr w:rsidR="002F2ACA" w:rsidRPr="00355B39" w:rsidTr="00EF5091">
        <w:trPr>
          <w:trHeight w:val="525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78497B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Está sendo retido o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ISSQN 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ou consta compr</w:t>
            </w:r>
            <w:r w:rsidR="0059326D">
              <w:rPr>
                <w:rFonts w:ascii="Times New Roman" w:hAnsi="Times New Roman" w:cs="Times New Roman"/>
                <w:sz w:val="18"/>
                <w:szCs w:val="18"/>
              </w:rPr>
              <w:t>ovante de recolhimento? (</w:t>
            </w:r>
            <w:r w:rsidR="0059326D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50</w:t>
            </w:r>
            <w:r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do Dec</w:t>
            </w:r>
            <w:r w:rsidR="008F5871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 nº</w:t>
            </w:r>
            <w:r w:rsidR="0059326D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6.046/2020</w:t>
            </w:r>
            <w:r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78497B">
        <w:trPr>
          <w:trHeight w:val="747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Verificar se estão sendo exigidos, no momento do pagamento, os comprovantes de regularidade trabalhista e previdenciária, válidos, conforme o art. 71, caput, da Lei nº. 8.666/93.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540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Programa de Desembolso – PD</w:t>
            </w:r>
            <w:r w:rsidR="008F5871" w:rsidRPr="00355B39">
              <w:rPr>
                <w:rFonts w:ascii="Times New Roman" w:hAnsi="Times New Roman" w:cs="Times New Roman"/>
                <w:sz w:val="18"/>
                <w:szCs w:val="18"/>
              </w:rPr>
              <w:t>? (A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rt. 64, da Lei nº 4.320/64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F2ACA" w:rsidRPr="00355B39" w:rsidTr="00EF5091">
        <w:trPr>
          <w:trHeight w:val="46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ACA" w:rsidRPr="00355B39" w:rsidRDefault="00FB5845" w:rsidP="0078497B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</w:t>
            </w:r>
            <w:r w:rsidRPr="00355B3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pelo </w:t>
            </w:r>
            <w:r w:rsidRPr="00355B3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Grupo Executivo, </w:t>
            </w:r>
            <w:r w:rsidR="00EF509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quando for o caso? (</w:t>
            </w:r>
            <w:r w:rsidR="00EF5091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Art. 59</w:t>
            </w:r>
            <w:r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inc. III</w:t>
            </w:r>
            <w:r w:rsidR="00EF5091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 Art. 25</w:t>
            </w:r>
            <w:r w:rsidRPr="0078497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Dec</w:t>
            </w:r>
            <w:r w:rsidR="008F5871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reto Orçamentário</w:t>
            </w:r>
            <w:r w:rsidR="00EF5091"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nº 6.046/2020</w:t>
            </w:r>
            <w:proofErr w:type="gramStart"/>
            <w:r w:rsidRPr="007849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2ACA" w:rsidRPr="00355B39" w:rsidTr="00EF5091">
        <w:trPr>
          <w:trHeight w:val="461"/>
        </w:trPr>
        <w:tc>
          <w:tcPr>
            <w:tcW w:w="3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ACA" w:rsidRPr="00355B39" w:rsidRDefault="00FB5845" w:rsidP="00AC4A43">
            <w:pPr>
              <w:pStyle w:val="PargrafodaLista"/>
              <w:numPr>
                <w:ilvl w:val="0"/>
                <w:numId w:val="1"/>
              </w:numPr>
              <w:spacing w:after="0" w:line="276" w:lineRule="auto"/>
              <w:ind w:left="637" w:righ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>Ordem bancária – OB</w:t>
            </w:r>
            <w:r w:rsidR="00E61C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Relação Externa - RE</w:t>
            </w: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? (art. 64, da Lei nº 4.320/64</w:t>
            </w:r>
            <w:proofErr w:type="gramStart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2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FB5845" w:rsidRPr="00355B39" w:rsidRDefault="00FB5845">
      <w:pPr>
        <w:spacing w:after="96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2ACA" w:rsidRPr="00355B39" w:rsidRDefault="00FB5845">
      <w:pPr>
        <w:spacing w:after="96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355B39">
        <w:rPr>
          <w:rFonts w:ascii="Times New Roman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254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254"/>
      </w:tblGrid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FB5845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55B3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2ACA" w:rsidRPr="00355B39" w:rsidTr="00EC3793">
        <w:trPr>
          <w:trHeight w:val="355"/>
        </w:trPr>
        <w:tc>
          <w:tcPr>
            <w:tcW w:w="9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ACA" w:rsidRPr="00355B39" w:rsidRDefault="002F2ACA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E6A0B" w:rsidRDefault="00FE6A0B">
      <w:pPr>
        <w:tabs>
          <w:tab w:val="center" w:pos="1997"/>
          <w:tab w:val="center" w:pos="4757"/>
          <w:tab w:val="center" w:pos="7294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E6A0B" w:rsidRDefault="00FE6A0B" w:rsidP="00FE6A0B">
      <w:pPr>
        <w:tabs>
          <w:tab w:val="center" w:pos="1997"/>
          <w:tab w:val="center" w:pos="4757"/>
          <w:tab w:val="center" w:pos="7294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ACA" w:rsidRPr="00355B39" w:rsidRDefault="00FB5845" w:rsidP="00FE6A0B">
      <w:pPr>
        <w:tabs>
          <w:tab w:val="center" w:pos="1997"/>
          <w:tab w:val="center" w:pos="4757"/>
          <w:tab w:val="center" w:pos="729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355B39"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p w:rsidR="002F2ACA" w:rsidRPr="00355B39" w:rsidRDefault="002F2ACA">
      <w:pPr>
        <w:spacing w:after="7"/>
        <w:ind w:left="-113" w:right="-112"/>
        <w:rPr>
          <w:rFonts w:ascii="Times New Roman" w:hAnsi="Times New Roman" w:cs="Times New Roman"/>
          <w:sz w:val="18"/>
          <w:szCs w:val="18"/>
        </w:rPr>
      </w:pPr>
    </w:p>
    <w:p w:rsidR="002F2ACA" w:rsidRPr="00355B39" w:rsidRDefault="002F2ACA">
      <w:pPr>
        <w:tabs>
          <w:tab w:val="center" w:pos="1925"/>
          <w:tab w:val="center" w:pos="4683"/>
          <w:tab w:val="center" w:pos="7294"/>
        </w:tabs>
        <w:spacing w:after="0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</w:p>
    <w:sectPr w:rsidR="002F2ACA" w:rsidRPr="00355B39" w:rsidSect="0059326D">
      <w:headerReference w:type="default" r:id="rId10"/>
      <w:pgSz w:w="11906" w:h="16838"/>
      <w:pgMar w:top="1701" w:right="1134" w:bottom="1134" w:left="1701" w:header="354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88" w:rsidRDefault="00966A88">
      <w:pPr>
        <w:spacing w:after="0" w:line="240" w:lineRule="auto"/>
      </w:pPr>
      <w:r>
        <w:separator/>
      </w:r>
    </w:p>
  </w:endnote>
  <w:endnote w:type="continuationSeparator" w:id="0">
    <w:p w:rsidR="00966A88" w:rsidRDefault="009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88" w:rsidRDefault="00966A88">
      <w:r>
        <w:separator/>
      </w:r>
    </w:p>
  </w:footnote>
  <w:footnote w:type="continuationSeparator" w:id="0">
    <w:p w:rsidR="00966A88" w:rsidRDefault="00966A88">
      <w:r>
        <w:continuationSeparator/>
      </w:r>
    </w:p>
  </w:footnote>
  <w:footnote w:id="1">
    <w:p w:rsidR="002F2ACA" w:rsidRPr="00AC4A43" w:rsidRDefault="00FB5845">
      <w:pPr>
        <w:pStyle w:val="footnotedescription"/>
        <w:rPr>
          <w:rFonts w:ascii="Times New Roman" w:hAnsi="Times New Roman" w:cs="Times New Roman"/>
        </w:rPr>
      </w:pPr>
      <w:r w:rsidRPr="00AC4A43">
        <w:rPr>
          <w:rStyle w:val="Caracteresdenotaderodap"/>
          <w:rFonts w:ascii="Times New Roman" w:hAnsi="Times New Roman" w:cs="Times New Roman"/>
        </w:rPr>
        <w:footnoteRef/>
      </w:r>
      <w:r w:rsidRPr="00AC4A43">
        <w:rPr>
          <w:rFonts w:ascii="Times New Roman" w:hAnsi="Times New Roman" w:cs="Times New Roman"/>
        </w:rPr>
        <w:t xml:space="preserve"> Imprevisibilidade do fato que motivou a dispensa de licitação, de tal forma que se possa assegurar que a contratação em caráter emergencial não foi provocada pela desídia, inércia, incúria ou negligência do administrador.  </w:t>
      </w:r>
    </w:p>
  </w:footnote>
  <w:footnote w:id="2">
    <w:p w:rsidR="006A6EC8" w:rsidRDefault="006A6EC8" w:rsidP="006A6EC8">
      <w:pPr>
        <w:pStyle w:val="Textodenotaderodap"/>
        <w:tabs>
          <w:tab w:val="left" w:pos="284"/>
        </w:tabs>
      </w:pPr>
      <w:r>
        <w:rPr>
          <w:rStyle w:val="Refdenotaderodap"/>
        </w:rPr>
        <w:footnoteRef/>
      </w:r>
      <w:r>
        <w:t xml:space="preserve"> O</w:t>
      </w:r>
      <w:r w:rsidRPr="00CD1691">
        <w:rPr>
          <w:rFonts w:ascii="Times New Roman" w:hAnsi="Times New Roman" w:cs="Times New Roman"/>
          <w:sz w:val="16"/>
          <w:szCs w:val="16"/>
        </w:rPr>
        <w:t xml:space="preserve"> presente caso, o contrato poderá ter o prazo máximo de 180 dias consecutivos e ininterruptos, não sendo permitida sua prorrogação, mesmo que o contrato tenha sido firmado por 90 dias não poderá ser prorrogado por mais 90 dias, conforme inc. </w:t>
      </w:r>
      <w:proofErr w:type="gramStart"/>
      <w:r w:rsidRPr="00CD1691">
        <w:rPr>
          <w:rFonts w:ascii="Times New Roman" w:hAnsi="Times New Roman" w:cs="Times New Roman"/>
          <w:sz w:val="16"/>
          <w:szCs w:val="16"/>
        </w:rPr>
        <w:t>IV, art.</w:t>
      </w:r>
      <w:proofErr w:type="gramEnd"/>
      <w:r w:rsidRPr="00CD1691">
        <w:rPr>
          <w:rFonts w:ascii="Times New Roman" w:hAnsi="Times New Roman" w:cs="Times New Roman"/>
          <w:sz w:val="16"/>
          <w:szCs w:val="16"/>
        </w:rPr>
        <w:t xml:space="preserve"> 24 da Lei nº 8.666/93). Sendo vedado o efeito retroativo do contrato, conforme Decisão TCU nº 161/1997.</w:t>
      </w:r>
    </w:p>
  </w:footnote>
  <w:footnote w:id="3">
    <w:p w:rsidR="006A6EC8" w:rsidRDefault="006A6E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FD5370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http://www.portaltransparencia.gov.br/sancoes/ceis?ordenarPor=nome&amp;direcao=asc</w:t>
        </w:r>
      </w:hyperlink>
      <w:hyperlink r:id="rId2">
        <w:r w:rsidRPr="00355B39">
          <w:rPr>
            <w:rStyle w:val="ListLabel12"/>
            <w:rFonts w:ascii="Times New Roman" w:hAnsi="Times New Roman" w:cs="Times New Roman"/>
            <w:sz w:val="18"/>
            <w:szCs w:val="18"/>
          </w:rPr>
          <w:t>)</w:t>
        </w:r>
      </w:hyperlink>
      <w:r w:rsidR="008063E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8063E4">
        <w:rPr>
          <w:rFonts w:ascii="Times New Roman" w:hAnsi="Times New Roman" w:cs="Times New Roman"/>
          <w:b/>
          <w:sz w:val="16"/>
          <w:szCs w:val="16"/>
          <w:lang w:val="en-US"/>
        </w:rPr>
        <w:t>NOT CGE nº 02/2015  www.cge.to.gov.br</w:t>
      </w:r>
      <w:r w:rsidRPr="00355B39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55B39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</w:p>
  </w:footnote>
  <w:footnote w:id="4">
    <w:p w:rsidR="001C04AC" w:rsidRPr="002808F8" w:rsidRDefault="001C04AC">
      <w:pPr>
        <w:pStyle w:val="Textodenotaderodap"/>
        <w:rPr>
          <w:rFonts w:ascii="Times New Roman" w:hAnsi="Times New Roman" w:cs="Times New Roman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2808F8">
        <w:rPr>
          <w:rFonts w:ascii="Times New Roman" w:hAnsi="Times New Roman" w:cs="Times New Roman"/>
          <w:sz w:val="16"/>
          <w:szCs w:val="16"/>
        </w:rPr>
        <w:t xml:space="preserve">Atenção para o correto preenchimento </w:t>
      </w:r>
      <w:r w:rsidR="002808F8">
        <w:rPr>
          <w:rFonts w:ascii="Times New Roman" w:hAnsi="Times New Roman" w:cs="Times New Roman"/>
          <w:sz w:val="16"/>
          <w:szCs w:val="16"/>
        </w:rPr>
        <w:t xml:space="preserve">do Empenho, referente </w:t>
      </w:r>
      <w:proofErr w:type="gramStart"/>
      <w:r w:rsidR="002808F8">
        <w:rPr>
          <w:rFonts w:ascii="Times New Roman" w:hAnsi="Times New Roman" w:cs="Times New Roman"/>
          <w:sz w:val="16"/>
          <w:szCs w:val="16"/>
        </w:rPr>
        <w:t>a</w:t>
      </w:r>
      <w:proofErr w:type="gramEnd"/>
      <w:r w:rsidRPr="002808F8">
        <w:rPr>
          <w:rFonts w:ascii="Times New Roman" w:hAnsi="Times New Roman" w:cs="Times New Roman"/>
          <w:sz w:val="16"/>
          <w:szCs w:val="16"/>
        </w:rPr>
        <w:t xml:space="preserve"> modalidade de licitação</w:t>
      </w:r>
      <w:r w:rsidR="002808F8">
        <w:rPr>
          <w:rFonts w:ascii="Times New Roman" w:hAnsi="Times New Roman" w:cs="Times New Roman"/>
          <w:sz w:val="16"/>
          <w:szCs w:val="16"/>
        </w:rPr>
        <w:t>.</w:t>
      </w:r>
      <w:r w:rsidRPr="002808F8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CA" w:rsidRDefault="002F2ACA">
    <w:pPr>
      <w:spacing w:after="0"/>
      <w:ind w:left="3" w:firstLine="0"/>
      <w:jc w:val="center"/>
      <w:rPr>
        <w:rFonts w:ascii="Calibri" w:eastAsia="Calibri" w:hAnsi="Calibri" w:cs="Calibri"/>
        <w:color w:val="002060"/>
        <w:sz w:val="16"/>
      </w:rPr>
    </w:pPr>
  </w:p>
  <w:tbl>
    <w:tblPr>
      <w:tblW w:w="9525" w:type="dxa"/>
      <w:tblInd w:w="-63" w:type="dxa"/>
      <w:tblLook w:val="04A0" w:firstRow="1" w:lastRow="0" w:firstColumn="1" w:lastColumn="0" w:noHBand="0" w:noVBand="1"/>
    </w:tblPr>
    <w:tblGrid>
      <w:gridCol w:w="5505"/>
      <w:gridCol w:w="4020"/>
    </w:tblGrid>
    <w:tr w:rsidR="002F2ACA">
      <w:trPr>
        <w:trHeight w:val="1650"/>
      </w:trPr>
      <w:tc>
        <w:tcPr>
          <w:tcW w:w="5504" w:type="dxa"/>
          <w:shd w:val="clear" w:color="auto" w:fill="auto"/>
        </w:tcPr>
        <w:p w:rsidR="002F2ACA" w:rsidRPr="009162FC" w:rsidRDefault="00FB5845">
          <w:pPr>
            <w:pStyle w:val="Cabealho"/>
            <w:rPr>
              <w:rFonts w:asciiTheme="minorHAnsi" w:hAnsiTheme="minorHAnsi"/>
            </w:rPr>
          </w:pPr>
          <w:r w:rsidRPr="009162FC">
            <w:rPr>
              <w:rFonts w:asciiTheme="minorHAnsi" w:hAnsiTheme="minorHAnsi"/>
              <w:noProof/>
            </w:rPr>
            <w:drawing>
              <wp:inline distT="0" distB="0" distL="0" distR="0" wp14:anchorId="4EA1239D" wp14:editId="16E01F25">
                <wp:extent cx="3314700" cy="714375"/>
                <wp:effectExtent l="0" t="0" r="0" b="0"/>
                <wp:docPr id="24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shd w:val="clear" w:color="auto" w:fill="auto"/>
        </w:tcPr>
        <w:p w:rsidR="002F2ACA" w:rsidRPr="009162FC" w:rsidRDefault="00FB5845" w:rsidP="009162FC">
          <w:pPr>
            <w:pStyle w:val="Cabealho"/>
            <w:tabs>
              <w:tab w:val="right" w:pos="8504"/>
            </w:tabs>
            <w:spacing w:after="0" w:line="240" w:lineRule="auto"/>
            <w:ind w:left="0" w:firstLine="0"/>
            <w:jc w:val="left"/>
            <w:rPr>
              <w:rFonts w:asciiTheme="minorHAnsi" w:hAnsiTheme="minorHAnsi"/>
            </w:rPr>
          </w:pPr>
          <w:r w:rsidRPr="009162FC">
            <w:rPr>
              <w:rFonts w:asciiTheme="minorHAnsi" w:eastAsia="Times New Roman" w:hAnsiTheme="minorHAnsi"/>
              <w:bCs/>
              <w:color w:val="222A35" w:themeColor="text2" w:themeShade="80"/>
              <w:sz w:val="18"/>
              <w:szCs w:val="18"/>
            </w:rPr>
            <w:t>Praça dos Girassóis, Esplanada das Secretarias. S/N</w:t>
          </w:r>
          <w:r w:rsidRPr="009162FC">
            <w:rPr>
              <w:rFonts w:asciiTheme="minorHAnsi" w:hAnsiTheme="minorHAnsi"/>
              <w:color w:val="222A35" w:themeColor="text2" w:themeShade="80"/>
              <w:sz w:val="18"/>
              <w:szCs w:val="18"/>
            </w:rPr>
            <w:t xml:space="preserve"> </w:t>
          </w:r>
        </w:p>
        <w:p w:rsidR="002F2ACA" w:rsidRPr="009162FC" w:rsidRDefault="00FB5845" w:rsidP="009162FC">
          <w:pPr>
            <w:pStyle w:val="Cabealho"/>
            <w:tabs>
              <w:tab w:val="center" w:pos="4252"/>
              <w:tab w:val="right" w:pos="8504"/>
            </w:tabs>
            <w:spacing w:after="0" w:line="240" w:lineRule="auto"/>
            <w:ind w:left="0" w:firstLine="0"/>
            <w:jc w:val="left"/>
            <w:rPr>
              <w:rFonts w:asciiTheme="minorHAnsi" w:hAnsiTheme="minorHAnsi"/>
            </w:rPr>
          </w:pPr>
          <w:r w:rsidRPr="009162FC">
            <w:rPr>
              <w:rFonts w:asciiTheme="minorHAnsi" w:hAnsiTheme="minorHAnsi"/>
              <w:color w:val="222A35" w:themeColor="text2" w:themeShade="80"/>
              <w:sz w:val="18"/>
            </w:rPr>
            <w:t>Av. NS-02, Prédio I, s/nº. Plano Diretor Norte</w:t>
          </w:r>
        </w:p>
        <w:p w:rsidR="002F2ACA" w:rsidRPr="009162FC" w:rsidRDefault="00FB5845" w:rsidP="009162FC">
          <w:pPr>
            <w:pStyle w:val="Cabealho"/>
            <w:tabs>
              <w:tab w:val="center" w:pos="4252"/>
              <w:tab w:val="right" w:pos="8504"/>
            </w:tabs>
            <w:spacing w:after="0" w:line="240" w:lineRule="auto"/>
            <w:ind w:left="0" w:firstLine="0"/>
            <w:jc w:val="left"/>
            <w:rPr>
              <w:rFonts w:asciiTheme="minorHAnsi" w:hAnsiTheme="minorHAnsi"/>
            </w:rPr>
          </w:pPr>
          <w:r w:rsidRPr="009162FC">
            <w:rPr>
              <w:rFonts w:asciiTheme="minorHAnsi" w:hAnsiTheme="minorHAnsi"/>
              <w:color w:val="222A35" w:themeColor="text2" w:themeShade="80"/>
              <w:sz w:val="18"/>
              <w:szCs w:val="18"/>
            </w:rPr>
            <w:t>Palmas – Tocantins – CEP: 77.001-002</w:t>
          </w:r>
        </w:p>
        <w:p w:rsidR="002F2ACA" w:rsidRPr="009162FC" w:rsidRDefault="00FB5845" w:rsidP="009162FC">
          <w:pPr>
            <w:pStyle w:val="Cabealho"/>
            <w:tabs>
              <w:tab w:val="center" w:pos="4252"/>
              <w:tab w:val="right" w:pos="8504"/>
            </w:tabs>
            <w:spacing w:after="0" w:line="240" w:lineRule="auto"/>
            <w:ind w:left="0" w:firstLine="0"/>
            <w:jc w:val="left"/>
            <w:rPr>
              <w:rFonts w:asciiTheme="minorHAnsi" w:hAnsiTheme="minorHAnsi"/>
            </w:rPr>
          </w:pPr>
          <w:proofErr w:type="spellStart"/>
          <w:r w:rsidRPr="009162FC">
            <w:rPr>
              <w:rFonts w:asciiTheme="minorHAnsi" w:hAnsiTheme="minorHAnsi"/>
              <w:color w:val="222A35" w:themeColor="text2" w:themeShade="80"/>
              <w:sz w:val="18"/>
              <w:szCs w:val="18"/>
            </w:rPr>
            <w:t>Tel</w:t>
          </w:r>
          <w:proofErr w:type="spellEnd"/>
          <w:r w:rsidRPr="009162FC">
            <w:rPr>
              <w:rFonts w:asciiTheme="minorHAnsi" w:hAnsiTheme="minorHAnsi"/>
              <w:color w:val="222A35" w:themeColor="text2" w:themeShade="80"/>
              <w:sz w:val="18"/>
              <w:szCs w:val="18"/>
            </w:rPr>
            <w:t>: +55 63 3218-2563</w:t>
          </w:r>
          <w:r w:rsidRPr="009162FC">
            <w:rPr>
              <w:rFonts w:asciiTheme="minorHAnsi" w:hAnsiTheme="minorHAnsi"/>
              <w:color w:val="222A35" w:themeColor="text2" w:themeShade="80"/>
              <w:sz w:val="18"/>
              <w:szCs w:val="18"/>
            </w:rPr>
            <w:br/>
            <w:t>www.cge.to.gov.br</w:t>
          </w:r>
        </w:p>
      </w:tc>
    </w:tr>
  </w:tbl>
  <w:p w:rsidR="002F2ACA" w:rsidRDefault="002F2ACA" w:rsidP="009162FC">
    <w:p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0BF6"/>
    <w:multiLevelType w:val="multilevel"/>
    <w:tmpl w:val="2586E3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216ACB"/>
    <w:multiLevelType w:val="multilevel"/>
    <w:tmpl w:val="6E646E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130E6"/>
    <w:multiLevelType w:val="multilevel"/>
    <w:tmpl w:val="6E646E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CA"/>
    <w:rsid w:val="000E091B"/>
    <w:rsid w:val="001958C0"/>
    <w:rsid w:val="001C04AC"/>
    <w:rsid w:val="002808F8"/>
    <w:rsid w:val="002F2ACA"/>
    <w:rsid w:val="00316BA1"/>
    <w:rsid w:val="003358EE"/>
    <w:rsid w:val="00355B39"/>
    <w:rsid w:val="003773CF"/>
    <w:rsid w:val="003B4877"/>
    <w:rsid w:val="003D0FB6"/>
    <w:rsid w:val="004E64E6"/>
    <w:rsid w:val="0059326D"/>
    <w:rsid w:val="006A0DD9"/>
    <w:rsid w:val="006A6EC8"/>
    <w:rsid w:val="006C5458"/>
    <w:rsid w:val="0078497B"/>
    <w:rsid w:val="007D30FA"/>
    <w:rsid w:val="007F0BE0"/>
    <w:rsid w:val="007F4229"/>
    <w:rsid w:val="008063E4"/>
    <w:rsid w:val="008F5871"/>
    <w:rsid w:val="009162FC"/>
    <w:rsid w:val="00966A88"/>
    <w:rsid w:val="00AC4A43"/>
    <w:rsid w:val="00BB282A"/>
    <w:rsid w:val="00BD45FF"/>
    <w:rsid w:val="00C607E0"/>
    <w:rsid w:val="00E0658C"/>
    <w:rsid w:val="00E61CFA"/>
    <w:rsid w:val="00E87E2E"/>
    <w:rsid w:val="00EC3793"/>
    <w:rsid w:val="00EF5091"/>
    <w:rsid w:val="00FB5845"/>
    <w:rsid w:val="00FD537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spacing w:after="0"/>
      <w:jc w:val="lef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qFormat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A131B2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auto"/>
    </w:rPr>
  </w:style>
  <w:style w:type="character" w:customStyle="1" w:styleId="ListLabel12">
    <w:name w:val="ListLabel 12"/>
    <w:qFormat/>
    <w:rPr>
      <w:rFonts w:asciiTheme="minorHAnsi" w:hAnsiTheme="minorHAnsi"/>
      <w:szCs w:val="20"/>
      <w:lang w:val="en-US"/>
    </w:rPr>
  </w:style>
  <w:style w:type="character" w:customStyle="1" w:styleId="ListLabel13">
    <w:name w:val="ListLabel 13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14">
    <w:name w:val="ListLabel 14"/>
    <w:qFormat/>
    <w:rPr>
      <w:rFonts w:asciiTheme="minorHAnsi" w:hAnsiTheme="minorHAnsi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5">
    <w:name w:val="ListLabel 15"/>
    <w:qFormat/>
    <w:rPr>
      <w:rFonts w:ascii="Calibri" w:hAnsi="Calibri"/>
      <w:b/>
    </w:rPr>
  </w:style>
  <w:style w:type="character" w:customStyle="1" w:styleId="ListLabel16">
    <w:name w:val="ListLabel 16"/>
    <w:qFormat/>
    <w:rPr>
      <w:rFonts w:asciiTheme="minorHAnsi" w:hAnsiTheme="minorHAnsi"/>
      <w:szCs w:val="20"/>
      <w:lang w:val="en-US"/>
    </w:rPr>
  </w:style>
  <w:style w:type="character" w:customStyle="1" w:styleId="ListLabel17">
    <w:name w:val="ListLabel 17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18">
    <w:name w:val="ListLabel 18"/>
    <w:qFormat/>
    <w:rPr>
      <w:rFonts w:asciiTheme="minorHAnsi" w:hAnsiTheme="minorHAnsi"/>
      <w:szCs w:val="20"/>
    </w:rPr>
  </w:style>
  <w:style w:type="character" w:customStyle="1" w:styleId="ListLabel19">
    <w:name w:val="ListLabel 19"/>
    <w:qFormat/>
    <w:rPr>
      <w:rFonts w:ascii="Calibri" w:hAnsi="Calibri"/>
      <w:b/>
    </w:rPr>
  </w:style>
  <w:style w:type="character" w:customStyle="1" w:styleId="ListLabel20">
    <w:name w:val="ListLabel 20"/>
    <w:qFormat/>
    <w:rPr>
      <w:rFonts w:asciiTheme="minorHAnsi" w:hAnsiTheme="minorHAnsi"/>
      <w:szCs w:val="20"/>
      <w:lang w:val="en-US"/>
    </w:rPr>
  </w:style>
  <w:style w:type="character" w:customStyle="1" w:styleId="ListLabel21">
    <w:name w:val="ListLabel 21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22">
    <w:name w:val="ListLabel 22"/>
    <w:qFormat/>
    <w:rPr>
      <w:rFonts w:asciiTheme="minorHAnsi" w:hAnsiTheme="minorHAnsi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footnotedescription">
    <w:name w:val="footnote description"/>
    <w:next w:val="Normal"/>
    <w:qFormat/>
    <w:pPr>
      <w:spacing w:line="271" w:lineRule="auto"/>
    </w:pPr>
    <w:rPr>
      <w:rFonts w:ascii="Arial" w:eastAsia="Arial" w:hAnsi="Arial" w:cs="Arial"/>
      <w:color w:val="000000"/>
      <w:sz w:val="16"/>
    </w:rPr>
  </w:style>
  <w:style w:type="paragraph" w:styleId="PargrafodaLista">
    <w:name w:val="List Paragraph"/>
    <w:basedOn w:val="Normal"/>
    <w:uiPriority w:val="34"/>
    <w:qFormat/>
    <w:rsid w:val="00100EA8"/>
    <w:pPr>
      <w:ind w:left="720"/>
      <w:contextualSpacing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16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2FC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8C"/>
    <w:rPr>
      <w:rFonts w:ascii="Segoe UI" w:eastAsia="Arial" w:hAnsi="Segoe UI" w:cs="Segoe UI"/>
      <w:color w:val="000000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1C04A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D5370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BA1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BA1"/>
    <w:rPr>
      <w:rFonts w:ascii="Arial" w:eastAsia="Arial" w:hAnsi="Arial" w:cs="Arial"/>
      <w:color w:val="00000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16B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8" w:line="25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link w:val="Ttulo1Char"/>
    <w:uiPriority w:val="9"/>
    <w:unhideWhenUsed/>
    <w:qFormat/>
    <w:pPr>
      <w:keepNext/>
      <w:keepLines/>
      <w:spacing w:after="0"/>
      <w:jc w:val="left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2"/>
    </w:rPr>
  </w:style>
  <w:style w:type="character" w:customStyle="1" w:styleId="footnotedescriptionChar">
    <w:name w:val="footnote description Char"/>
    <w:qFormat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qFormat/>
    <w:rPr>
      <w:rFonts w:ascii="Arial" w:eastAsia="Arial" w:hAnsi="Arial" w:cs="Arial"/>
      <w:color w:val="000000"/>
      <w:sz w:val="16"/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A131B2"/>
    <w:rPr>
      <w:color w:val="0563C1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auto"/>
    </w:rPr>
  </w:style>
  <w:style w:type="character" w:customStyle="1" w:styleId="ListLabel12">
    <w:name w:val="ListLabel 12"/>
    <w:qFormat/>
    <w:rPr>
      <w:rFonts w:asciiTheme="minorHAnsi" w:hAnsiTheme="minorHAnsi"/>
      <w:szCs w:val="20"/>
      <w:lang w:val="en-US"/>
    </w:rPr>
  </w:style>
  <w:style w:type="character" w:customStyle="1" w:styleId="ListLabel13">
    <w:name w:val="ListLabel 13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14">
    <w:name w:val="ListLabel 14"/>
    <w:qFormat/>
    <w:rPr>
      <w:rFonts w:asciiTheme="minorHAnsi" w:hAnsiTheme="minorHAnsi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15">
    <w:name w:val="ListLabel 15"/>
    <w:qFormat/>
    <w:rPr>
      <w:rFonts w:ascii="Calibri" w:hAnsi="Calibri"/>
      <w:b/>
    </w:rPr>
  </w:style>
  <w:style w:type="character" w:customStyle="1" w:styleId="ListLabel16">
    <w:name w:val="ListLabel 16"/>
    <w:qFormat/>
    <w:rPr>
      <w:rFonts w:asciiTheme="minorHAnsi" w:hAnsiTheme="minorHAnsi"/>
      <w:szCs w:val="20"/>
      <w:lang w:val="en-US"/>
    </w:rPr>
  </w:style>
  <w:style w:type="character" w:customStyle="1" w:styleId="ListLabel17">
    <w:name w:val="ListLabel 17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18">
    <w:name w:val="ListLabel 18"/>
    <w:qFormat/>
    <w:rPr>
      <w:rFonts w:asciiTheme="minorHAnsi" w:hAnsiTheme="minorHAnsi"/>
      <w:szCs w:val="20"/>
    </w:rPr>
  </w:style>
  <w:style w:type="character" w:customStyle="1" w:styleId="ListLabel19">
    <w:name w:val="ListLabel 19"/>
    <w:qFormat/>
    <w:rPr>
      <w:rFonts w:ascii="Calibri" w:hAnsi="Calibri"/>
      <w:b/>
    </w:rPr>
  </w:style>
  <w:style w:type="character" w:customStyle="1" w:styleId="ListLabel20">
    <w:name w:val="ListLabel 20"/>
    <w:qFormat/>
    <w:rPr>
      <w:rFonts w:asciiTheme="minorHAnsi" w:hAnsiTheme="minorHAnsi"/>
      <w:szCs w:val="20"/>
      <w:lang w:val="en-US"/>
    </w:rPr>
  </w:style>
  <w:style w:type="character" w:customStyle="1" w:styleId="ListLabel21">
    <w:name w:val="ListLabel 21"/>
    <w:qFormat/>
    <w:rPr>
      <w:rFonts w:asciiTheme="minorHAnsi" w:hAnsiTheme="minorHAnsi"/>
      <w:color w:val="0000FF"/>
      <w:szCs w:val="20"/>
      <w:u w:val="single" w:color="0000FF"/>
      <w:lang w:val="en-US"/>
    </w:rPr>
  </w:style>
  <w:style w:type="character" w:customStyle="1" w:styleId="ListLabel22">
    <w:name w:val="ListLabel 22"/>
    <w:qFormat/>
    <w:rPr>
      <w:rFonts w:asciiTheme="minorHAnsi" w:hAnsiTheme="minorHAnsi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footnotedescription">
    <w:name w:val="footnote description"/>
    <w:next w:val="Normal"/>
    <w:qFormat/>
    <w:pPr>
      <w:spacing w:line="271" w:lineRule="auto"/>
    </w:pPr>
    <w:rPr>
      <w:rFonts w:ascii="Arial" w:eastAsia="Arial" w:hAnsi="Arial" w:cs="Arial"/>
      <w:color w:val="000000"/>
      <w:sz w:val="16"/>
    </w:rPr>
  </w:style>
  <w:style w:type="paragraph" w:styleId="PargrafodaLista">
    <w:name w:val="List Paragraph"/>
    <w:basedOn w:val="Normal"/>
    <w:uiPriority w:val="34"/>
    <w:qFormat/>
    <w:rsid w:val="00100EA8"/>
    <w:pPr>
      <w:ind w:left="720"/>
      <w:contextualSpacing/>
    </w:pPr>
  </w:style>
  <w:style w:type="paragraph" w:styleId="Textodenotaderodap">
    <w:name w:val="footnote text"/>
    <w:basedOn w:val="Normal"/>
  </w:style>
  <w:style w:type="paragraph" w:styleId="Cabealho">
    <w:name w:val="head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16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2FC"/>
    <w:rPr>
      <w:rFonts w:ascii="Arial" w:eastAsia="Arial" w:hAnsi="Arial" w:cs="Arial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658C"/>
    <w:rPr>
      <w:rFonts w:ascii="Segoe UI" w:eastAsia="Arial" w:hAnsi="Segoe UI" w:cs="Segoe UI"/>
      <w:color w:val="000000"/>
      <w:sz w:val="18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1C04AC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D5370"/>
    <w:rPr>
      <w:color w:val="0563C1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BA1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BA1"/>
    <w:rPr>
      <w:rFonts w:ascii="Arial" w:eastAsia="Arial" w:hAnsi="Arial" w:cs="Arial"/>
      <w:color w:val="00000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16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stao.cge.to.gov.br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ortaldatransparencia.gov.br/ceis/consulta/seam" TargetMode="External"/><Relationship Id="rId1" Type="http://schemas.openxmlformats.org/officeDocument/2006/relationships/hyperlink" Target="http://www.portaltransparencia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12A5-D4D7-4740-A576-27912B04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1639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Barbosa Catro Branco Melo</dc:creator>
  <cp:lastModifiedBy>Amanda Felix Ribeiro</cp:lastModifiedBy>
  <cp:revision>5</cp:revision>
  <cp:lastPrinted>2019-09-11T12:40:00Z</cp:lastPrinted>
  <dcterms:created xsi:type="dcterms:W3CDTF">2020-04-07T13:54:00Z</dcterms:created>
  <dcterms:modified xsi:type="dcterms:W3CDTF">2020-04-07T17:57:00Z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