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6D" w:rsidRPr="00E16E1E" w:rsidRDefault="00047130" w:rsidP="00DF749A">
      <w:pPr>
        <w:tabs>
          <w:tab w:val="center" w:pos="2281"/>
          <w:tab w:val="right" w:pos="15181"/>
        </w:tabs>
        <w:spacing w:after="0" w:line="36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16E1E">
        <w:rPr>
          <w:rFonts w:ascii="Times New Roman" w:hAnsi="Times New Roman" w:cs="Times New Roman"/>
          <w:b/>
          <w:sz w:val="20"/>
          <w:szCs w:val="20"/>
        </w:rPr>
        <w:t>CHECKLIST</w:t>
      </w:r>
    </w:p>
    <w:p w:rsidR="002F786D" w:rsidRPr="00EC672F" w:rsidRDefault="002F786D" w:rsidP="00DF749A">
      <w:pPr>
        <w:tabs>
          <w:tab w:val="center" w:pos="2281"/>
          <w:tab w:val="right" w:pos="15181"/>
        </w:tabs>
        <w:spacing w:after="0" w:line="360" w:lineRule="auto"/>
        <w:ind w:left="0" w:right="0" w:firstLine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2F786D" w:rsidRPr="00EC672F" w:rsidRDefault="00047130" w:rsidP="00DF749A">
      <w:pPr>
        <w:tabs>
          <w:tab w:val="right" w:pos="15181"/>
        </w:tabs>
        <w:spacing w:after="0" w:line="360" w:lineRule="auto"/>
        <w:ind w:left="0" w:righ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72F">
        <w:rPr>
          <w:rFonts w:ascii="Times New Roman" w:hAnsi="Times New Roman" w:cs="Times New Roman"/>
          <w:b/>
          <w:sz w:val="20"/>
          <w:szCs w:val="20"/>
          <w:u w:val="single"/>
        </w:rPr>
        <w:t xml:space="preserve">Auditoria / Fiscalização </w:t>
      </w:r>
    </w:p>
    <w:p w:rsidR="002F786D" w:rsidRPr="00EC672F" w:rsidRDefault="00047130" w:rsidP="00DF749A">
      <w:pPr>
        <w:tabs>
          <w:tab w:val="right" w:pos="15181"/>
        </w:tabs>
        <w:spacing w:after="0" w:line="36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C672F">
        <w:rPr>
          <w:rFonts w:ascii="Times New Roman" w:hAnsi="Times New Roman" w:cs="Times New Roman"/>
          <w:b/>
          <w:sz w:val="20"/>
          <w:szCs w:val="20"/>
          <w:u w:val="single"/>
        </w:rPr>
        <w:t>Empresas Públicas e Sociedades de Economia Mista</w:t>
      </w:r>
    </w:p>
    <w:p w:rsidR="002F786D" w:rsidRPr="00921B63" w:rsidRDefault="002F786D" w:rsidP="00DF749A">
      <w:pPr>
        <w:spacing w:after="0" w:line="360" w:lineRule="auto"/>
        <w:ind w:left="14" w:right="0"/>
        <w:jc w:val="left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F786D" w:rsidRPr="00921B63" w:rsidRDefault="00047130" w:rsidP="00DF749A">
      <w:pPr>
        <w:spacing w:after="0" w:line="360" w:lineRule="auto"/>
        <w:ind w:left="-5" w:right="0" w:firstLine="5"/>
        <w:rPr>
          <w:rFonts w:ascii="Times New Roman" w:hAnsi="Times New Roman" w:cs="Times New Roman"/>
          <w:sz w:val="18"/>
          <w:szCs w:val="18"/>
        </w:rPr>
      </w:pPr>
      <w:r w:rsidRPr="00921B63">
        <w:rPr>
          <w:rFonts w:ascii="Times New Roman" w:hAnsi="Times New Roman" w:cs="Times New Roman"/>
          <w:sz w:val="18"/>
          <w:szCs w:val="18"/>
        </w:rPr>
        <w:t>Empresa: ________________________________________________</w:t>
      </w:r>
      <w:r w:rsidR="00E16E1E">
        <w:rPr>
          <w:rFonts w:ascii="Times New Roman" w:hAnsi="Times New Roman" w:cs="Times New Roman"/>
          <w:sz w:val="18"/>
          <w:szCs w:val="18"/>
        </w:rPr>
        <w:t>__________</w:t>
      </w:r>
      <w:r w:rsidRPr="00921B63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2F786D" w:rsidRPr="00921B63" w:rsidRDefault="00047130" w:rsidP="00DF749A">
      <w:pPr>
        <w:spacing w:after="0" w:line="360" w:lineRule="auto"/>
        <w:ind w:left="-5" w:right="0" w:firstLine="5"/>
        <w:rPr>
          <w:rFonts w:ascii="Times New Roman" w:hAnsi="Times New Roman" w:cs="Times New Roman"/>
          <w:sz w:val="18"/>
          <w:szCs w:val="18"/>
        </w:rPr>
      </w:pPr>
      <w:r w:rsidRPr="00921B63">
        <w:rPr>
          <w:rFonts w:ascii="Times New Roman" w:hAnsi="Times New Roman" w:cs="Times New Roman"/>
          <w:sz w:val="18"/>
          <w:szCs w:val="18"/>
        </w:rPr>
        <w:t>Processo nº: ________________________________________________________</w:t>
      </w:r>
      <w:r w:rsidR="00E16E1E">
        <w:rPr>
          <w:rFonts w:ascii="Times New Roman" w:hAnsi="Times New Roman" w:cs="Times New Roman"/>
          <w:sz w:val="18"/>
          <w:szCs w:val="18"/>
        </w:rPr>
        <w:t>__________</w:t>
      </w:r>
      <w:r w:rsidRPr="00921B63">
        <w:rPr>
          <w:rFonts w:ascii="Times New Roman" w:hAnsi="Times New Roman" w:cs="Times New Roman"/>
          <w:sz w:val="18"/>
          <w:szCs w:val="18"/>
        </w:rPr>
        <w:t xml:space="preserve">_______________________ </w:t>
      </w:r>
    </w:p>
    <w:p w:rsidR="002F786D" w:rsidRPr="00921B63" w:rsidRDefault="00047130" w:rsidP="00DF749A">
      <w:pPr>
        <w:spacing w:after="0" w:line="360" w:lineRule="auto"/>
        <w:ind w:left="-5" w:right="0" w:firstLine="5"/>
        <w:rPr>
          <w:rFonts w:ascii="Times New Roman" w:hAnsi="Times New Roman" w:cs="Times New Roman"/>
          <w:sz w:val="18"/>
          <w:szCs w:val="18"/>
        </w:rPr>
      </w:pPr>
      <w:r w:rsidRPr="00921B63">
        <w:rPr>
          <w:rFonts w:ascii="Times New Roman" w:hAnsi="Times New Roman" w:cs="Times New Roman"/>
          <w:sz w:val="18"/>
          <w:szCs w:val="18"/>
        </w:rPr>
        <w:t>Portaria nº ___________________________________________________________________</w:t>
      </w:r>
      <w:r w:rsidR="00E16E1E">
        <w:rPr>
          <w:rFonts w:ascii="Times New Roman" w:hAnsi="Times New Roman" w:cs="Times New Roman"/>
          <w:sz w:val="18"/>
          <w:szCs w:val="18"/>
        </w:rPr>
        <w:t>__________</w:t>
      </w:r>
      <w:r w:rsidRPr="00921B63">
        <w:rPr>
          <w:rFonts w:ascii="Times New Roman" w:hAnsi="Times New Roman" w:cs="Times New Roman"/>
          <w:sz w:val="18"/>
          <w:szCs w:val="18"/>
        </w:rPr>
        <w:t>_____________</w:t>
      </w:r>
    </w:p>
    <w:p w:rsidR="002F786D" w:rsidRPr="00921B63" w:rsidRDefault="002F786D" w:rsidP="00DF749A">
      <w:pPr>
        <w:spacing w:after="0" w:line="360" w:lineRule="auto"/>
        <w:ind w:left="19" w:righ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2F786D" w:rsidRPr="00921B63" w:rsidRDefault="00047130" w:rsidP="00DF749A">
      <w:pPr>
        <w:spacing w:after="0" w:line="360" w:lineRule="auto"/>
        <w:ind w:left="14" w:right="0"/>
        <w:rPr>
          <w:rFonts w:ascii="Times New Roman" w:hAnsi="Times New Roman" w:cs="Times New Roman"/>
          <w:sz w:val="18"/>
          <w:szCs w:val="18"/>
        </w:rPr>
      </w:pPr>
      <w:r w:rsidRPr="00921B63">
        <w:rPr>
          <w:rFonts w:ascii="Times New Roman" w:hAnsi="Times New Roman" w:cs="Times New Roman"/>
          <w:b/>
          <w:sz w:val="18"/>
          <w:szCs w:val="18"/>
          <w:u w:val="single"/>
        </w:rPr>
        <w:t>EMPRESA PÚBLICA:</w:t>
      </w:r>
      <w:r w:rsidRPr="00921B63">
        <w:rPr>
          <w:rFonts w:ascii="Times New Roman" w:hAnsi="Times New Roman" w:cs="Times New Roman"/>
          <w:sz w:val="18"/>
          <w:szCs w:val="18"/>
        </w:rPr>
        <w:t xml:space="preserve"> Entidade dotada de personalidade jurídica de direito privado, com patrimônio próprio e capital exclusivo da União/Estado (100% público), criada por lei para exploração de atividade econômica, administrada exclusivamente pelo poder público, sendo de propriedade única do Estado. A finalidade da empresa pública pode ser de atividade econômica ou de prestação de serviços públicos. Art. 173 da CF; Lei Federal nº 13.303/2016; Decreto Federal nº 8.945/2016.</w:t>
      </w:r>
    </w:p>
    <w:p w:rsidR="002F786D" w:rsidRPr="00921B63" w:rsidRDefault="002F786D" w:rsidP="00DF749A">
      <w:pPr>
        <w:spacing w:after="0" w:line="360" w:lineRule="auto"/>
        <w:ind w:left="14" w:right="0"/>
        <w:rPr>
          <w:rFonts w:ascii="Times New Roman" w:hAnsi="Times New Roman" w:cs="Times New Roman"/>
          <w:sz w:val="18"/>
          <w:szCs w:val="18"/>
        </w:rPr>
      </w:pPr>
    </w:p>
    <w:p w:rsidR="002F786D" w:rsidRDefault="00047130" w:rsidP="00DF749A">
      <w:pPr>
        <w:spacing w:after="0" w:line="360" w:lineRule="auto"/>
        <w:ind w:left="14" w:right="0"/>
        <w:rPr>
          <w:rFonts w:ascii="Times New Roman" w:hAnsi="Times New Roman" w:cs="Times New Roman"/>
          <w:sz w:val="18"/>
          <w:szCs w:val="18"/>
        </w:rPr>
      </w:pPr>
      <w:r w:rsidRPr="00921B63">
        <w:rPr>
          <w:rFonts w:ascii="Times New Roman" w:hAnsi="Times New Roman" w:cs="Times New Roman"/>
          <w:b/>
          <w:sz w:val="18"/>
          <w:szCs w:val="18"/>
          <w:u w:val="single"/>
        </w:rPr>
        <w:t>SOCIEDADE DE ECONOMIA MISTA</w:t>
      </w:r>
      <w:r w:rsidRPr="00921B63">
        <w:rPr>
          <w:rFonts w:ascii="Times New Roman" w:hAnsi="Times New Roman" w:cs="Times New Roman"/>
          <w:sz w:val="18"/>
          <w:szCs w:val="18"/>
        </w:rPr>
        <w:t>: Entidade dotada de personalidade jurídica de direito privado, com criação autorizada por lei, constituída sob a forma de sociedade anônima (S/A), capital misto, parte público e parte privado, devendo a maioria do capital votante estar nas mãos do poder público, possuindo maioria das ações com direito a voto, sendo o Poder Público quem tem poder para definir as atuações da entidade. Art. 173 da CF; Lei Federal nº 13.303/2016; Lei Federal nº 6.404/1976, Decreto Federal nº 8.945/2016.</w:t>
      </w:r>
    </w:p>
    <w:p w:rsidR="00E16E1E" w:rsidRPr="00921B63" w:rsidRDefault="00E16E1E" w:rsidP="00DF749A">
      <w:pPr>
        <w:spacing w:after="0" w:line="360" w:lineRule="auto"/>
        <w:ind w:left="14" w:right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272" w:type="dxa"/>
        <w:jc w:val="center"/>
        <w:tblInd w:w="0" w:type="dxa"/>
        <w:tblCellMar>
          <w:left w:w="98" w:type="dxa"/>
          <w:right w:w="5" w:type="dxa"/>
        </w:tblCellMar>
        <w:tblLook w:val="04A0"/>
      </w:tblPr>
      <w:tblGrid>
        <w:gridCol w:w="5771"/>
        <w:gridCol w:w="284"/>
        <w:gridCol w:w="3217"/>
      </w:tblGrid>
      <w:tr w:rsidR="002F786D" w:rsidRPr="00921B63" w:rsidTr="006858CA">
        <w:trPr>
          <w:trHeight w:val="243"/>
          <w:jc w:val="center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2F786D" w:rsidRPr="00921B63" w:rsidRDefault="00047130" w:rsidP="00DF749A">
            <w:pPr>
              <w:tabs>
                <w:tab w:val="right" w:pos="15181"/>
              </w:tabs>
              <w:spacing w:after="0" w:line="276" w:lineRule="auto"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Direcionamento para Auditoria/Fiscalização em </w:t>
            </w:r>
          </w:p>
          <w:p w:rsidR="002F786D" w:rsidRPr="00921B63" w:rsidRDefault="00047130" w:rsidP="00DF749A">
            <w:pPr>
              <w:tabs>
                <w:tab w:val="right" w:pos="15181"/>
              </w:tabs>
              <w:spacing w:after="0" w:line="276" w:lineRule="auto"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>Empresas Públicas e Sociedade de Economia Mista</w:t>
            </w:r>
          </w:p>
        </w:tc>
        <w:tc>
          <w:tcPr>
            <w:tcW w:w="3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2F786D" w:rsidRPr="00921B63" w:rsidRDefault="00047130" w:rsidP="00DF749A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>Observações do Analista</w:t>
            </w:r>
          </w:p>
        </w:tc>
      </w:tr>
      <w:tr w:rsidR="002F786D" w:rsidRPr="00921B63" w:rsidTr="006858CA">
        <w:trPr>
          <w:trHeight w:val="243"/>
          <w:jc w:val="center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</w:tabs>
              <w:spacing w:after="0" w:line="240" w:lineRule="auto"/>
              <w:ind w:left="397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Foi disponibilizado o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acesso irrestrito aos documentos e às informações necessários à realização dos trabalhos, inclusive aqueles classificados como sigilosos pela empresa pública ou pela sociedade de economia mista? (Art. 85, §1º, art. 86, § 2º e art. 87 §3º da Lei </w:t>
            </w:r>
            <w:bookmarkStart w:id="0" w:name="__DdeLink__506_1254637556"/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bookmarkEnd w:id="0"/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nº 13.303/16</w:t>
            </w:r>
            <w:proofErr w:type="gramStart"/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6858CA">
        <w:trPr>
          <w:trHeight w:val="243"/>
          <w:jc w:val="center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397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>Estatuto Social da empresa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, está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ajustado às disposições da Lei nº 13.303/16? (Art. 91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13.303/16)</w:t>
            </w:r>
          </w:p>
        </w:tc>
        <w:tc>
          <w:tcPr>
            <w:tcW w:w="3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6858CA">
        <w:trPr>
          <w:trHeight w:val="243"/>
          <w:jc w:val="center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397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Consta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atos</w:t>
            </w:r>
            <w:r w:rsidRPr="00921B63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1"/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editados pelo poder executivo estabelecendo regras de governança</w:t>
            </w:r>
            <w:r w:rsidRPr="00921B63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, quando no exercício social anterior, a receita operacional bruta inferior a noventa milhões? (Art. 1º, §§ 1º e 3º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6858CA">
        <w:trPr>
          <w:trHeight w:val="243"/>
          <w:jc w:val="center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397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Na criação do estatuto 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foi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observado as regras de governança corporativa, de transparência e de estruturas, práticas de gestão de riscos e de controle interno, composição da administração e, havendo acionistas, mecanismos para sua proteção? (Art. 6ª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13.303/16)</w:t>
            </w:r>
          </w:p>
        </w:tc>
        <w:tc>
          <w:tcPr>
            <w:tcW w:w="3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6858CA">
        <w:trPr>
          <w:trHeight w:val="243"/>
          <w:jc w:val="center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6858C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429" w:right="182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As informações relativas a licitações e contratos, constam de bancos de dados eletrônicos atualizados e com acesso em tempo real? (Art. 86 e art. 88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13.303/16)</w:t>
            </w:r>
          </w:p>
        </w:tc>
        <w:tc>
          <w:tcPr>
            <w:tcW w:w="3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6858CA">
        <w:trPr>
          <w:trHeight w:val="243"/>
          <w:jc w:val="center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9137E" w:rsidRPr="00921B63" w:rsidRDefault="00047130" w:rsidP="006858C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429" w:right="182" w:hanging="316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Os demonstrativos contábeis auditados da empresa pública e da sociedade de </w:t>
            </w:r>
            <w:r w:rsidR="00921B63">
              <w:rPr>
                <w:rFonts w:ascii="Times New Roman" w:hAnsi="Times New Roman" w:cs="Times New Roman"/>
                <w:sz w:val="18"/>
                <w:szCs w:val="18"/>
              </w:rPr>
              <w:t>economia mista</w:t>
            </w:r>
            <w:proofErr w:type="gramStart"/>
            <w:r w:rsidR="00921B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consta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disponibilizados no sítio eletrônico? (Art. 86, § 1º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DF749A">
        <w:trPr>
          <w:trHeight w:val="243"/>
          <w:jc w:val="center"/>
        </w:trPr>
        <w:tc>
          <w:tcPr>
            <w:tcW w:w="9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047130" w:rsidP="006858CA">
            <w:pPr>
              <w:pStyle w:val="PargrafodaLista"/>
              <w:numPr>
                <w:ilvl w:val="0"/>
                <w:numId w:val="1"/>
              </w:numPr>
              <w:tabs>
                <w:tab w:val="left" w:pos="91"/>
                <w:tab w:val="left" w:pos="5673"/>
              </w:tabs>
              <w:spacing w:after="0" w:line="276" w:lineRule="auto"/>
              <w:ind w:left="429" w:right="182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Foram observadas as obrigações de divulgação de forma permanente e cumulativa na internet dos </w:t>
            </w: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>requisitos de transparência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: (Art. 8º, </w:t>
            </w:r>
            <w:r w:rsidRPr="00921B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caput e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§ 4º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2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67" w:right="182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>carta anual</w:t>
            </w:r>
            <w:r w:rsidRPr="00921B63">
              <w:rPr>
                <w:rStyle w:val="ncoradanotaderodap"/>
                <w:rFonts w:ascii="Times New Roman" w:hAnsi="Times New Roman" w:cs="Times New Roman"/>
                <w:b/>
                <w:sz w:val="18"/>
                <w:szCs w:val="18"/>
              </w:rPr>
              <w:footnoteReference w:id="3"/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foi elaborada e divulgada, ao público em geral, com a consecução de objetivos de políticas públicas, com definição clara dos recursos, dos impactos econômicos - 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financeiros, mensurados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por meio de indicadores objetivos, escrito de forma clara e direta? (Art. 8º, inc. 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I, III e VIII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13.303/16)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2"/>
              </w:numPr>
              <w:tabs>
                <w:tab w:val="left" w:pos="5673"/>
                <w:tab w:val="right" w:pos="15181"/>
              </w:tabs>
              <w:spacing w:after="0" w:line="276" w:lineRule="auto"/>
              <w:ind w:left="624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O Estatuto social consta adequado à autorização de sua criação? (Art. 8º, inc. II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2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67" w:right="182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Consta elaborada e divulgada 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as política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de divulgação de informações (Art. 8º, inc. IV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13.303/16)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2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67" w:right="182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Consta informação de política de distribuição de dividendos? (Art. 8º, inc. V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2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67" w:right="182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Consta divulgação, em nota explicativa ás demonstrações financeiras, dos dados operacionais e financeiros das atividades? (Art. 8º, inc. VI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2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10" w:right="182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Consta elaborada</w:t>
            </w:r>
            <w:r w:rsidRPr="00921B63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4"/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e divulgada 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as política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de transações com partes relacionadas,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aprovada pelo Conselho de Administração?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(Art. 8º, inc. VII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2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10" w:right="182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Consta a divulgação anual de relatório integrado ou de sustentabilidade?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(Art. 8º, inc. IX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10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Foi observado o limite máximo de 5% da receita operacional bruta do exercício anterior para as despesas com publicidade e patrocínio? (Art. 93, caput e §1º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10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Em ano de eleição para o cargo federativo a que sejam vinculadas, foi observado o limite da média dos gastos nos 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(três) últimos anos que antecedem o pleito para as despesas com publicidade e patrocínio? (Art. 93, § 2º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10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Foi elaborado e divulgado o código de conduta e integridade e foram adotadas regras de estruturas e práticas de gestão de riscos e controle interno?</w:t>
            </w:r>
            <w:r w:rsidRPr="00921B63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5"/>
            </w:r>
            <w:r w:rsidR="002B4F37">
              <w:rPr>
                <w:rFonts w:ascii="Times New Roman" w:hAnsi="Times New Roman" w:cs="Times New Roman"/>
                <w:sz w:val="18"/>
                <w:szCs w:val="18"/>
              </w:rPr>
              <w:t xml:space="preserve"> (Art. 9º,§ 1º, inciso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s. </w:t>
            </w:r>
            <w:proofErr w:type="gramStart"/>
            <w:r w:rsidR="002B4F37" w:rsidRPr="00921B6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2B4F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B4F37"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II e III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13.303/16)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6858C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70" w:right="182" w:hanging="456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A auditoria interna</w:t>
            </w:r>
            <w:r w:rsidRPr="00921B63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6"/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está desempenhando de maneira eficiente seu papel, que é responsável por aferir a efetividade do gerenciamento dos riscos e dos processos de governança? (Art. 9º, §3º, inc. I e II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6858C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454" w:right="182" w:hanging="456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Foi criado o </w:t>
            </w:r>
            <w:r w:rsidR="002B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comitê </w:t>
            </w: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>estatutário</w:t>
            </w:r>
            <w:r w:rsidRPr="00921B63">
              <w:rPr>
                <w:rStyle w:val="ncoradanotaderodap"/>
                <w:rFonts w:ascii="Times New Roman" w:hAnsi="Times New Roman" w:cs="Times New Roman"/>
                <w:b/>
                <w:sz w:val="18"/>
                <w:szCs w:val="18"/>
              </w:rPr>
              <w:footnoteReference w:id="7"/>
            </w: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?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(Art. 10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13.303/16)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10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A empresa está divulgando as atas das reuniões do</w:t>
            </w:r>
            <w:r w:rsidR="002B4F37">
              <w:rPr>
                <w:rFonts w:ascii="Times New Roman" w:hAnsi="Times New Roman" w:cs="Times New Roman"/>
                <w:sz w:val="18"/>
                <w:szCs w:val="18"/>
              </w:rPr>
              <w:t xml:space="preserve"> comitê estatutário? (Art. 10, paragrafo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único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668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10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A empresa faz a divulgação das remunerações dos administradores? (Art. 12, inc. I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454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Foi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observado as diretrizes</w:t>
            </w:r>
            <w:r w:rsidRPr="00921B63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8"/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e restrições para elaboração do Estatuto da companhia? (Art. 13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13.303/16)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6858CA">
            <w:pPr>
              <w:pStyle w:val="PargrafodaLista"/>
              <w:numPr>
                <w:ilvl w:val="0"/>
                <w:numId w:val="1"/>
              </w:numPr>
              <w:tabs>
                <w:tab w:val="right" w:pos="15181"/>
              </w:tabs>
              <w:spacing w:after="0" w:line="276" w:lineRule="auto"/>
              <w:ind w:left="429" w:right="0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Foi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observado os requisitos e as vedações na escolha dos membros do </w:t>
            </w: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>Conselho de Administração e da diretoria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? (Art. 17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13.303/16)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right" w:pos="15181"/>
              </w:tabs>
              <w:spacing w:after="0" w:line="276" w:lineRule="auto"/>
              <w:ind w:left="510" w:right="0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Consta na estrutura societária da companhia um </w:t>
            </w: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>Comitê de Auditoria Estatutário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? (Art. 24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13.303/16)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right" w:pos="15181"/>
              </w:tabs>
              <w:spacing w:after="0" w:line="276" w:lineRule="auto"/>
              <w:ind w:left="510" w:right="0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>Comitê de Auditoria Estatutário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encontra-se ativo com suas obrigações de auxiliar o Conselho de Administração nas suas competências? (Art. 24, §§ 1º, 2º e 3º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16)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right" w:pos="15181"/>
              </w:tabs>
              <w:spacing w:after="0" w:line="276" w:lineRule="auto"/>
              <w:ind w:left="454" w:right="0" w:hanging="34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Consta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divulgadas as atas ou os extratos das atas de reuniões do Comitê de Auditoria Estatutário? (Art. 24, §§ 4º e 5º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right" w:pos="15181"/>
              </w:tabs>
              <w:spacing w:after="0" w:line="276" w:lineRule="auto"/>
              <w:ind w:left="454" w:right="0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Os membros</w:t>
            </w:r>
            <w:r w:rsidRPr="00921B63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9"/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selecionados para integrar o comitê de auditoria atendem às condições mínimas para integrar o Comitê de Auditoria Estatutário? (Art. 25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13.303/16)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458"/>
                <w:tab w:val="right" w:pos="15181"/>
              </w:tabs>
              <w:spacing w:after="0" w:line="276" w:lineRule="auto"/>
              <w:ind w:left="340" w:right="0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Consta expressa no instrumento de autorização legal para a sua criação a função social da companhia? (Art. 27, </w:t>
            </w:r>
            <w:r w:rsidRPr="00921B63">
              <w:rPr>
                <w:rFonts w:ascii="Times New Roman" w:hAnsi="Times New Roman" w:cs="Times New Roman"/>
                <w:i/>
                <w:sz w:val="18"/>
                <w:szCs w:val="18"/>
              </w:rPr>
              <w:t>caput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right" w:pos="15181"/>
              </w:tabs>
              <w:spacing w:after="0" w:line="276" w:lineRule="auto"/>
              <w:ind w:left="340" w:right="0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Houve fiscalização de algum órgão de controle externo e interno? (Art. 85, </w:t>
            </w:r>
            <w:r w:rsidRPr="00921B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caput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right" w:pos="15181"/>
              </w:tabs>
              <w:spacing w:after="0" w:line="276" w:lineRule="auto"/>
              <w:ind w:left="340" w:right="0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Consta alguma denúncia de irregularidade pela demonstração de legalidade e da regularidade da despesa e da execução no termos da Constituição? (Art. 87, § 2º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F786D" w:rsidRPr="00921B63" w:rsidRDefault="002F786D" w:rsidP="00DF749A">
      <w:pPr>
        <w:spacing w:after="0" w:line="360" w:lineRule="auto"/>
        <w:ind w:left="19" w:right="0" w:firstLine="124"/>
        <w:rPr>
          <w:rFonts w:ascii="Times New Roman" w:hAnsi="Times New Roman" w:cs="Times New Roman"/>
          <w:b/>
          <w:sz w:val="18"/>
          <w:szCs w:val="18"/>
        </w:rPr>
      </w:pPr>
    </w:p>
    <w:p w:rsidR="002F786D" w:rsidRPr="00921B63" w:rsidRDefault="00047130" w:rsidP="00DF749A">
      <w:pPr>
        <w:spacing w:after="0" w:line="360" w:lineRule="auto"/>
        <w:ind w:left="19" w:right="0" w:firstLine="124"/>
        <w:rPr>
          <w:rFonts w:ascii="Times New Roman" w:hAnsi="Times New Roman" w:cs="Times New Roman"/>
          <w:b/>
          <w:sz w:val="18"/>
          <w:szCs w:val="18"/>
        </w:rPr>
      </w:pPr>
      <w:r w:rsidRPr="00921B63">
        <w:rPr>
          <w:rFonts w:ascii="Times New Roman" w:hAnsi="Times New Roman" w:cs="Times New Roman"/>
          <w:b/>
          <w:sz w:val="18"/>
          <w:szCs w:val="18"/>
        </w:rPr>
        <w:t>Apontamentos:</w:t>
      </w:r>
    </w:p>
    <w:tbl>
      <w:tblPr>
        <w:tblW w:w="4950" w:type="pct"/>
        <w:tblInd w:w="5" w:type="dxa"/>
        <w:tblLook w:val="04A0"/>
      </w:tblPr>
      <w:tblGrid>
        <w:gridCol w:w="9194"/>
      </w:tblGrid>
      <w:tr w:rsidR="002F786D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58CA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CA" w:rsidRPr="00921B63" w:rsidRDefault="006858CA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58CA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CA" w:rsidRPr="00921B63" w:rsidRDefault="006858CA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58CA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CA" w:rsidRPr="00921B63" w:rsidRDefault="006858CA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58CA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CA" w:rsidRPr="00921B63" w:rsidRDefault="006858CA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58CA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CA" w:rsidRPr="00921B63" w:rsidRDefault="006858CA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58CA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CA" w:rsidRPr="00921B63" w:rsidRDefault="006858CA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858CA" w:rsidRDefault="006858CA" w:rsidP="006858CA">
      <w:pPr>
        <w:spacing w:after="0" w:line="240" w:lineRule="auto"/>
        <w:ind w:left="11"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786D" w:rsidRPr="00921B63" w:rsidRDefault="00047130" w:rsidP="006858CA">
      <w:pPr>
        <w:spacing w:after="0" w:line="240" w:lineRule="auto"/>
        <w:ind w:left="11"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FC180A">
        <w:rPr>
          <w:rFonts w:ascii="Times New Roman" w:hAnsi="Times New Roman" w:cs="Times New Roman"/>
          <w:b/>
          <w:sz w:val="16"/>
          <w:szCs w:val="16"/>
        </w:rPr>
        <w:t>Assinatura e Matrícula do Servidor</w:t>
      </w:r>
      <w:bookmarkStart w:id="1" w:name="_GoBack"/>
      <w:bookmarkEnd w:id="1"/>
    </w:p>
    <w:sectPr w:rsidR="002F786D" w:rsidRPr="00921B63" w:rsidSect="00DF749A">
      <w:headerReference w:type="default" r:id="rId8"/>
      <w:pgSz w:w="11906" w:h="16838" w:code="9"/>
      <w:pgMar w:top="0" w:right="1134" w:bottom="1134" w:left="1701" w:header="425" w:footer="0" w:gutter="0"/>
      <w:cols w:space="720"/>
      <w:formProt w:val="0"/>
      <w:vAlign w:val="both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8AE" w:rsidRDefault="002818AE">
      <w:pPr>
        <w:spacing w:after="0" w:line="240" w:lineRule="auto"/>
      </w:pPr>
      <w:r>
        <w:separator/>
      </w:r>
    </w:p>
  </w:endnote>
  <w:endnote w:type="continuationSeparator" w:id="0">
    <w:p w:rsidR="002818AE" w:rsidRDefault="0028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8AE" w:rsidRDefault="002818AE">
      <w:r>
        <w:separator/>
      </w:r>
    </w:p>
  </w:footnote>
  <w:footnote w:type="continuationSeparator" w:id="0">
    <w:p w:rsidR="002818AE" w:rsidRDefault="002818AE">
      <w:r>
        <w:continuationSeparator/>
      </w:r>
    </w:p>
  </w:footnote>
  <w:footnote w:id="1">
    <w:p w:rsidR="002F786D" w:rsidRPr="00E16E1E" w:rsidRDefault="00047130">
      <w:pPr>
        <w:spacing w:after="0" w:line="240" w:lineRule="auto"/>
        <w:ind w:left="170" w:right="113" w:hanging="113"/>
        <w:rPr>
          <w:rFonts w:ascii="Times New Roman" w:hAnsi="Times New Roman" w:cs="Times New Roman"/>
          <w:sz w:val="14"/>
          <w:szCs w:val="14"/>
        </w:rPr>
      </w:pPr>
      <w:r w:rsidRPr="00E16E1E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E16E1E">
        <w:rPr>
          <w:rFonts w:ascii="Times New Roman" w:hAnsi="Times New Roman" w:cs="Times New Roman"/>
          <w:sz w:val="14"/>
          <w:szCs w:val="14"/>
        </w:rPr>
        <w:tab/>
        <w:t xml:space="preserve"> </w:t>
      </w:r>
      <w:r w:rsidRPr="00E16E1E">
        <w:rPr>
          <w:rFonts w:ascii="Times New Roman" w:eastAsiaTheme="minorEastAsia" w:hAnsi="Times New Roman" w:cs="Times New Roman"/>
          <w:color w:val="auto"/>
          <w:sz w:val="14"/>
          <w:szCs w:val="14"/>
        </w:rPr>
        <w:t>A não edição dos atos no prazo de 180 (cento e oitenta) dias a partir da publicação da Lei</w:t>
      </w:r>
      <w:proofErr w:type="gramStart"/>
      <w:r w:rsidRPr="00E16E1E">
        <w:rPr>
          <w:rFonts w:ascii="Times New Roman" w:eastAsiaTheme="minorEastAsia" w:hAnsi="Times New Roman" w:cs="Times New Roman"/>
          <w:color w:val="auto"/>
          <w:sz w:val="14"/>
          <w:szCs w:val="14"/>
        </w:rPr>
        <w:t>, submete</w:t>
      </w:r>
      <w:proofErr w:type="gramEnd"/>
      <w:r w:rsidRPr="00E16E1E">
        <w:rPr>
          <w:rFonts w:ascii="Times New Roman" w:eastAsiaTheme="minorEastAsia" w:hAnsi="Times New Roman" w:cs="Times New Roman"/>
          <w:color w:val="auto"/>
          <w:sz w:val="14"/>
          <w:szCs w:val="14"/>
        </w:rPr>
        <w:t xml:space="preserve"> as respectivas empresas públicas e sociedades de economia mista às regras de governança previstas no Título I desta Lei. (Art.1º, § 4º da Lei nº 13.303/16</w:t>
      </w:r>
      <w:proofErr w:type="gramStart"/>
      <w:r w:rsidRPr="00E16E1E">
        <w:rPr>
          <w:rFonts w:ascii="Times New Roman" w:eastAsiaTheme="minorEastAsia" w:hAnsi="Times New Roman" w:cs="Times New Roman"/>
          <w:color w:val="auto"/>
          <w:sz w:val="14"/>
          <w:szCs w:val="14"/>
        </w:rPr>
        <w:t>)</w:t>
      </w:r>
      <w:proofErr w:type="gramEnd"/>
    </w:p>
  </w:footnote>
  <w:footnote w:id="2">
    <w:p w:rsidR="002F786D" w:rsidRPr="00921B63" w:rsidRDefault="00047130">
      <w:pPr>
        <w:spacing w:after="0" w:line="240" w:lineRule="auto"/>
        <w:ind w:left="170" w:right="170" w:hanging="113"/>
        <w:rPr>
          <w:rFonts w:ascii="Times New Roman" w:hAnsi="Times New Roman" w:cs="Times New Roman"/>
          <w:sz w:val="16"/>
          <w:szCs w:val="16"/>
        </w:rPr>
      </w:pPr>
      <w:r w:rsidRPr="00E16E1E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E16E1E">
        <w:rPr>
          <w:rFonts w:ascii="Times New Roman" w:hAnsi="Times New Roman" w:cs="Times New Roman"/>
          <w:sz w:val="14"/>
          <w:szCs w:val="14"/>
        </w:rPr>
        <w:tab/>
        <w:t xml:space="preserve"> </w:t>
      </w:r>
      <w:r w:rsidRPr="00E16E1E">
        <w:rPr>
          <w:rFonts w:ascii="Times New Roman" w:eastAsiaTheme="minorEastAsia" w:hAnsi="Times New Roman" w:cs="Times New Roman"/>
          <w:sz w:val="14"/>
          <w:szCs w:val="14"/>
        </w:rPr>
        <w:t xml:space="preserve">Submetem-se ao regime previsto nesta Lei a empresa pública e a sociedade de economia mista que participem de consórcio, conforme disposto no </w:t>
      </w:r>
      <w:r w:rsidRPr="00E16E1E">
        <w:rPr>
          <w:rFonts w:ascii="Times New Roman" w:eastAsiaTheme="minorEastAsia" w:hAnsi="Times New Roman" w:cs="Times New Roman"/>
          <w:color w:val="0000EF"/>
          <w:sz w:val="14"/>
          <w:szCs w:val="14"/>
        </w:rPr>
        <w:t>art. 279 da Lei nº 6.404, de 15 de dezembro de 1976</w:t>
      </w:r>
      <w:r w:rsidRPr="00E16E1E">
        <w:rPr>
          <w:rFonts w:ascii="Times New Roman" w:eastAsiaTheme="minorEastAsia" w:hAnsi="Times New Roman" w:cs="Times New Roman"/>
          <w:sz w:val="14"/>
          <w:szCs w:val="14"/>
        </w:rPr>
        <w:t>, na condição de operadora / as controladas por empresa pública ou sociedade de economia mista, inclusive a de propósito especifico. (</w:t>
      </w:r>
      <w:r w:rsidRPr="00E16E1E">
        <w:rPr>
          <w:rFonts w:ascii="Times New Roman" w:eastAsiaTheme="minorEastAsia" w:hAnsi="Times New Roman" w:cs="Times New Roman"/>
          <w:color w:val="auto"/>
          <w:sz w:val="14"/>
          <w:szCs w:val="14"/>
        </w:rPr>
        <w:t>Art.1º, §§ 5º e 6º da Lei nº 13.303/16</w:t>
      </w:r>
      <w:proofErr w:type="gramStart"/>
      <w:r w:rsidRPr="00E16E1E">
        <w:rPr>
          <w:rFonts w:ascii="Times New Roman" w:eastAsiaTheme="minorEastAsia" w:hAnsi="Times New Roman" w:cs="Times New Roman"/>
          <w:color w:val="auto"/>
          <w:sz w:val="14"/>
          <w:szCs w:val="14"/>
        </w:rPr>
        <w:t>)</w:t>
      </w:r>
      <w:proofErr w:type="gramEnd"/>
    </w:p>
  </w:footnote>
  <w:footnote w:id="3">
    <w:p w:rsidR="002F786D" w:rsidRPr="00396895" w:rsidRDefault="00047130">
      <w:pPr>
        <w:pStyle w:val="Textodenotaderodap"/>
        <w:ind w:left="283" w:right="170" w:hanging="227"/>
        <w:jc w:val="both"/>
        <w:rPr>
          <w:rFonts w:ascii="Times New Roman" w:hAnsi="Times New Roman"/>
          <w:sz w:val="16"/>
          <w:szCs w:val="16"/>
        </w:rPr>
      </w:pPr>
      <w:r w:rsidRPr="00396895">
        <w:rPr>
          <w:rStyle w:val="Caracteresdenotaderodap"/>
          <w:rFonts w:ascii="Times New Roman" w:hAnsi="Times New Roman"/>
          <w:sz w:val="16"/>
          <w:szCs w:val="16"/>
        </w:rPr>
        <w:footnoteRef/>
      </w:r>
      <w:r w:rsidRPr="00396895">
        <w:rPr>
          <w:rFonts w:ascii="Times New Roman" w:hAnsi="Times New Roman"/>
          <w:sz w:val="16"/>
          <w:szCs w:val="16"/>
        </w:rPr>
        <w:tab/>
        <w:t xml:space="preserve"> A carta anual terá sua divulgação tempestiva e atualizada de informações relevantes, em especial as relativas a atividades desenvolvidas, estrutura de controle, fatores de risco, dados econômico-financeiros, comentários dos administradores sobre o desempenho, políticas e práticas de governança corporativa e descrição da composição e da remuneração da administração;</w:t>
      </w:r>
    </w:p>
  </w:footnote>
  <w:footnote w:id="4">
    <w:p w:rsidR="002F786D" w:rsidRPr="00396895" w:rsidRDefault="00047130">
      <w:pPr>
        <w:pStyle w:val="Textodenotaderodap"/>
        <w:ind w:left="227" w:right="113" w:hanging="170"/>
        <w:jc w:val="both"/>
        <w:rPr>
          <w:rFonts w:ascii="Times New Roman" w:hAnsi="Times New Roman"/>
          <w:sz w:val="16"/>
          <w:szCs w:val="16"/>
        </w:rPr>
      </w:pPr>
      <w:r w:rsidRPr="00396895">
        <w:rPr>
          <w:rStyle w:val="Caracteresdenotaderodap"/>
          <w:rFonts w:ascii="Times New Roman" w:hAnsi="Times New Roman"/>
          <w:sz w:val="16"/>
          <w:szCs w:val="16"/>
        </w:rPr>
        <w:footnoteRef/>
      </w:r>
      <w:r w:rsidRPr="00396895">
        <w:rPr>
          <w:rFonts w:ascii="Times New Roman" w:hAnsi="Times New Roman"/>
          <w:sz w:val="16"/>
          <w:szCs w:val="16"/>
        </w:rPr>
        <w:tab/>
        <w:t xml:space="preserve"> As políticas de transações com partes relacionadas, em conformidade com os requisitos de competitividade, conformidade, transparência, equidade e comutatividade, que deverá ser revista, no mínimo, anualmente e aprovada pelo Conselho de Administração.</w:t>
      </w:r>
    </w:p>
  </w:footnote>
  <w:footnote w:id="5">
    <w:p w:rsidR="002F786D" w:rsidRPr="00396895" w:rsidRDefault="00047130">
      <w:pPr>
        <w:pStyle w:val="Textodenotaderodap"/>
        <w:ind w:left="170" w:hanging="170"/>
        <w:jc w:val="both"/>
        <w:rPr>
          <w:rFonts w:ascii="Times New Roman" w:hAnsi="Times New Roman"/>
          <w:sz w:val="16"/>
          <w:szCs w:val="16"/>
        </w:rPr>
      </w:pPr>
      <w:r w:rsidRPr="00396895">
        <w:rPr>
          <w:rStyle w:val="Caracteresdenotaderodap"/>
          <w:rFonts w:ascii="Times New Roman" w:hAnsi="Times New Roman"/>
          <w:sz w:val="16"/>
          <w:szCs w:val="16"/>
        </w:rPr>
        <w:footnoteRef/>
      </w:r>
      <w:r w:rsidRPr="00396895">
        <w:rPr>
          <w:rFonts w:ascii="Times New Roman" w:hAnsi="Times New Roman"/>
          <w:sz w:val="16"/>
          <w:szCs w:val="16"/>
        </w:rPr>
        <w:tab/>
        <w:t xml:space="preserve"> I - ação dos administradores e empregados, por meio da </w:t>
      </w:r>
      <w:proofErr w:type="gramStart"/>
      <w:r w:rsidRPr="00396895">
        <w:rPr>
          <w:rFonts w:ascii="Times New Roman" w:hAnsi="Times New Roman"/>
          <w:sz w:val="16"/>
          <w:szCs w:val="16"/>
        </w:rPr>
        <w:t>implementação</w:t>
      </w:r>
      <w:proofErr w:type="gramEnd"/>
      <w:r w:rsidRPr="00396895">
        <w:rPr>
          <w:rFonts w:ascii="Times New Roman" w:hAnsi="Times New Roman"/>
          <w:sz w:val="16"/>
          <w:szCs w:val="16"/>
        </w:rPr>
        <w:t xml:space="preserve"> cotidiana de práticas de controle interno; </w:t>
      </w:r>
    </w:p>
    <w:p w:rsidR="002F786D" w:rsidRPr="00396895" w:rsidRDefault="00047130">
      <w:pPr>
        <w:pStyle w:val="Textodenotaderodap"/>
        <w:ind w:left="227"/>
        <w:jc w:val="both"/>
        <w:rPr>
          <w:rFonts w:ascii="Times New Roman" w:hAnsi="Times New Roman"/>
          <w:sz w:val="16"/>
          <w:szCs w:val="16"/>
        </w:rPr>
      </w:pPr>
      <w:r w:rsidRPr="00396895">
        <w:rPr>
          <w:rFonts w:ascii="Times New Roman" w:hAnsi="Times New Roman"/>
          <w:sz w:val="16"/>
          <w:szCs w:val="16"/>
        </w:rPr>
        <w:t>II - área responsável pela verificação de cumprimento de obrigações e de gestão de riscos;</w:t>
      </w:r>
    </w:p>
    <w:p w:rsidR="002F786D" w:rsidRDefault="00047130">
      <w:pPr>
        <w:pStyle w:val="Textodenotaderodap"/>
        <w:ind w:left="227"/>
        <w:jc w:val="both"/>
        <w:rPr>
          <w:rFonts w:ascii="Times New Roman" w:hAnsi="Times New Roman"/>
          <w:sz w:val="16"/>
          <w:szCs w:val="16"/>
        </w:rPr>
      </w:pPr>
      <w:r w:rsidRPr="00396895">
        <w:rPr>
          <w:rFonts w:ascii="Times New Roman" w:hAnsi="Times New Roman"/>
          <w:sz w:val="16"/>
          <w:szCs w:val="16"/>
        </w:rPr>
        <w:t>III - auditoria interna e Comitê de Auditoria Estatutário.</w:t>
      </w:r>
    </w:p>
  </w:footnote>
  <w:footnote w:id="6">
    <w:p w:rsidR="002F786D" w:rsidRPr="002B4F37" w:rsidRDefault="00047130">
      <w:pPr>
        <w:pStyle w:val="Textodenotaderodap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B4F37">
        <w:rPr>
          <w:rStyle w:val="Caracteresdenotaderodap"/>
          <w:rFonts w:ascii="Times New Roman" w:hAnsi="Times New Roman"/>
          <w:sz w:val="16"/>
          <w:szCs w:val="16"/>
        </w:rPr>
        <w:footnoteRef/>
      </w:r>
      <w:r w:rsidRPr="002B4F37">
        <w:rPr>
          <w:rFonts w:ascii="Times New Roman" w:hAnsi="Times New Roman"/>
          <w:sz w:val="16"/>
          <w:szCs w:val="16"/>
        </w:rPr>
        <w:tab/>
        <w:t xml:space="preserve"> I - ser vinculada ao Conselho de Administração, diretamente ou por meio do Comitê de Auditoria Estatutário;</w:t>
      </w:r>
    </w:p>
    <w:p w:rsidR="002F786D" w:rsidRPr="002B4F37" w:rsidRDefault="00047130">
      <w:pPr>
        <w:pStyle w:val="Textodenotaderodap"/>
        <w:ind w:left="113" w:right="113"/>
        <w:jc w:val="both"/>
        <w:rPr>
          <w:rFonts w:ascii="Times New Roman" w:hAnsi="Times New Roman"/>
          <w:sz w:val="16"/>
          <w:szCs w:val="16"/>
        </w:rPr>
      </w:pPr>
      <w:r w:rsidRPr="002B4F37">
        <w:rPr>
          <w:rFonts w:ascii="Times New Roman" w:hAnsi="Times New Roman"/>
          <w:sz w:val="16"/>
          <w:szCs w:val="16"/>
        </w:rPr>
        <w:t>II - ser responsável por aferir a adequação do controle interno, a efetividade do gerenciamento dos riscos e dos processos de governança e a confiabilidade do processo de coleta, mensuração, classificação, acumulação, registro e divulgação de eventos e transações, visando ao preparo de demonstrações financeiras.</w:t>
      </w:r>
    </w:p>
  </w:footnote>
  <w:footnote w:id="7">
    <w:p w:rsidR="002F786D" w:rsidRPr="002B4F37" w:rsidRDefault="00047130">
      <w:pPr>
        <w:spacing w:after="0" w:line="240" w:lineRule="auto"/>
        <w:ind w:left="113" w:right="170" w:hanging="113"/>
        <w:rPr>
          <w:rFonts w:ascii="Times New Roman" w:hAnsi="Times New Roman" w:cs="Times New Roman"/>
          <w:sz w:val="16"/>
          <w:szCs w:val="16"/>
        </w:rPr>
      </w:pPr>
      <w:r w:rsidRPr="002B4F37">
        <w:rPr>
          <w:rStyle w:val="Caracteresdenotaderodap"/>
          <w:rFonts w:ascii="Times New Roman" w:hAnsi="Times New Roman" w:cs="Times New Roman"/>
          <w:sz w:val="16"/>
          <w:szCs w:val="16"/>
        </w:rPr>
        <w:footnoteRef/>
      </w:r>
      <w:r w:rsidRPr="002B4F37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2B4F37">
        <w:rPr>
          <w:rFonts w:ascii="Times New Roman" w:eastAsiaTheme="minorEastAsia" w:hAnsi="Times New Roman" w:cs="Times New Roman"/>
          <w:color w:val="auto"/>
          <w:sz w:val="16"/>
          <w:szCs w:val="16"/>
        </w:rPr>
        <w:t>O comitê estatutário deve verificar a conformidade do processo de indicação e de avaliação de membros para o Conselho de Administração e para o Conselho Fiscal, com competência para auxiliar o acionista controlador na indicação desses membros. A Publicação das atas de reunião se deve com o fim de verificar o cumprimento, pelos membros indicados, dos requisitos definidos na política de indicação, devendo ser registradas as eventuais manifestações divergentes de Conselheiros.</w:t>
      </w:r>
    </w:p>
  </w:footnote>
  <w:footnote w:id="8">
    <w:p w:rsidR="002F786D" w:rsidRPr="002B4F37" w:rsidRDefault="00047130">
      <w:pPr>
        <w:pStyle w:val="Textodenotaderodap"/>
        <w:jc w:val="both"/>
        <w:rPr>
          <w:rFonts w:ascii="Times New Roman" w:hAnsi="Times New Roman"/>
          <w:sz w:val="16"/>
          <w:szCs w:val="16"/>
        </w:rPr>
      </w:pPr>
      <w:r w:rsidRPr="002B4F37">
        <w:rPr>
          <w:rStyle w:val="Caracteresdenotaderodap"/>
          <w:rFonts w:ascii="Times New Roman" w:hAnsi="Times New Roman"/>
          <w:sz w:val="16"/>
          <w:szCs w:val="16"/>
        </w:rPr>
        <w:footnoteRef/>
      </w:r>
      <w:r w:rsidRPr="002B4F37">
        <w:rPr>
          <w:rFonts w:ascii="Times New Roman" w:hAnsi="Times New Roman"/>
          <w:sz w:val="16"/>
          <w:szCs w:val="16"/>
        </w:rPr>
        <w:t xml:space="preserve"> I - Constituição e funcionamento do </w:t>
      </w:r>
      <w:r w:rsidRPr="002B4F37">
        <w:rPr>
          <w:rFonts w:ascii="Times New Roman" w:hAnsi="Times New Roman"/>
          <w:b/>
          <w:sz w:val="16"/>
          <w:szCs w:val="16"/>
        </w:rPr>
        <w:t>Conselho de Administração</w:t>
      </w:r>
      <w:r w:rsidRPr="002B4F37">
        <w:rPr>
          <w:rFonts w:ascii="Times New Roman" w:hAnsi="Times New Roman"/>
          <w:sz w:val="16"/>
          <w:szCs w:val="16"/>
        </w:rPr>
        <w:t xml:space="preserve">: mínimo de </w:t>
      </w:r>
      <w:proofErr w:type="gramStart"/>
      <w:r w:rsidRPr="002B4F37">
        <w:rPr>
          <w:rFonts w:ascii="Times New Roman" w:hAnsi="Times New Roman"/>
          <w:sz w:val="16"/>
          <w:szCs w:val="16"/>
        </w:rPr>
        <w:t>7</w:t>
      </w:r>
      <w:proofErr w:type="gramEnd"/>
      <w:r w:rsidRPr="002B4F37">
        <w:rPr>
          <w:rFonts w:ascii="Times New Roman" w:hAnsi="Times New Roman"/>
          <w:sz w:val="16"/>
          <w:szCs w:val="16"/>
        </w:rPr>
        <w:t xml:space="preserve"> e máximo de 11 membros;</w:t>
      </w:r>
    </w:p>
    <w:p w:rsidR="002F786D" w:rsidRPr="002B4F37" w:rsidRDefault="00047130">
      <w:pPr>
        <w:pStyle w:val="Textodenotaderodap"/>
        <w:ind w:left="170"/>
        <w:jc w:val="both"/>
        <w:rPr>
          <w:rFonts w:ascii="Times New Roman" w:hAnsi="Times New Roman"/>
          <w:sz w:val="16"/>
          <w:szCs w:val="16"/>
        </w:rPr>
      </w:pPr>
      <w:r w:rsidRPr="002B4F37">
        <w:rPr>
          <w:rFonts w:ascii="Times New Roman" w:hAnsi="Times New Roman"/>
          <w:sz w:val="16"/>
          <w:szCs w:val="16"/>
        </w:rPr>
        <w:t xml:space="preserve">II- Requisitos específicos para o cargo de </w:t>
      </w:r>
      <w:r w:rsidRPr="002B4F37">
        <w:rPr>
          <w:rFonts w:ascii="Times New Roman" w:hAnsi="Times New Roman"/>
          <w:b/>
          <w:sz w:val="16"/>
          <w:szCs w:val="16"/>
        </w:rPr>
        <w:t>Diretores</w:t>
      </w:r>
      <w:r w:rsidRPr="002B4F37">
        <w:rPr>
          <w:rFonts w:ascii="Times New Roman" w:hAnsi="Times New Roman"/>
          <w:sz w:val="16"/>
          <w:szCs w:val="16"/>
        </w:rPr>
        <w:t xml:space="preserve">: mínimo de </w:t>
      </w:r>
      <w:proofErr w:type="gramStart"/>
      <w:r w:rsidRPr="002B4F37">
        <w:rPr>
          <w:rFonts w:ascii="Times New Roman" w:hAnsi="Times New Roman"/>
          <w:sz w:val="16"/>
          <w:szCs w:val="16"/>
        </w:rPr>
        <w:t>3</w:t>
      </w:r>
      <w:proofErr w:type="gramEnd"/>
      <w:r w:rsidRPr="002B4F37">
        <w:rPr>
          <w:rFonts w:ascii="Times New Roman" w:hAnsi="Times New Roman"/>
          <w:sz w:val="16"/>
          <w:szCs w:val="16"/>
        </w:rPr>
        <w:t>;</w:t>
      </w:r>
    </w:p>
    <w:p w:rsidR="002F786D" w:rsidRPr="002B4F37" w:rsidRDefault="00047130">
      <w:pPr>
        <w:pStyle w:val="Textodenotaderodap"/>
        <w:ind w:left="170"/>
        <w:jc w:val="both"/>
        <w:rPr>
          <w:rFonts w:ascii="Times New Roman" w:hAnsi="Times New Roman"/>
          <w:sz w:val="16"/>
          <w:szCs w:val="16"/>
        </w:rPr>
      </w:pPr>
      <w:r w:rsidRPr="002B4F37">
        <w:rPr>
          <w:rFonts w:ascii="Times New Roman" w:hAnsi="Times New Roman"/>
          <w:b/>
          <w:sz w:val="16"/>
          <w:szCs w:val="16"/>
        </w:rPr>
        <w:t>III - Avaliação de desempenho anual dos administradores e membros do comitê</w:t>
      </w:r>
      <w:r w:rsidRPr="002B4F37">
        <w:rPr>
          <w:rFonts w:ascii="Times New Roman" w:hAnsi="Times New Roman"/>
          <w:sz w:val="16"/>
          <w:szCs w:val="16"/>
        </w:rPr>
        <w:t xml:space="preserve"> – individual e coletiva;</w:t>
      </w:r>
    </w:p>
    <w:p w:rsidR="002F786D" w:rsidRPr="002B4F37" w:rsidRDefault="00047130">
      <w:pPr>
        <w:pStyle w:val="Textodenotaderodap"/>
        <w:ind w:left="170"/>
        <w:jc w:val="both"/>
        <w:rPr>
          <w:rFonts w:ascii="Times New Roman" w:hAnsi="Times New Roman"/>
          <w:sz w:val="16"/>
          <w:szCs w:val="16"/>
        </w:rPr>
      </w:pPr>
      <w:r w:rsidRPr="002B4F37">
        <w:rPr>
          <w:rFonts w:ascii="Times New Roman" w:hAnsi="Times New Roman"/>
          <w:b/>
          <w:sz w:val="16"/>
          <w:szCs w:val="16"/>
        </w:rPr>
        <w:t xml:space="preserve">IV – </w:t>
      </w:r>
      <w:r w:rsidRPr="002B4F37">
        <w:rPr>
          <w:rFonts w:ascii="Times New Roman" w:hAnsi="Times New Roman"/>
          <w:sz w:val="16"/>
          <w:szCs w:val="16"/>
        </w:rPr>
        <w:t xml:space="preserve">Constituição e funcionamento do </w:t>
      </w:r>
      <w:r w:rsidRPr="002B4F37">
        <w:rPr>
          <w:rFonts w:ascii="Times New Roman" w:hAnsi="Times New Roman"/>
          <w:b/>
          <w:sz w:val="16"/>
          <w:szCs w:val="16"/>
        </w:rPr>
        <w:t xml:space="preserve">Conselho Fiscal – </w:t>
      </w:r>
      <w:r w:rsidRPr="002B4F37">
        <w:rPr>
          <w:rFonts w:ascii="Times New Roman" w:hAnsi="Times New Roman"/>
          <w:sz w:val="16"/>
          <w:szCs w:val="16"/>
        </w:rPr>
        <w:t>permanente;</w:t>
      </w:r>
    </w:p>
    <w:p w:rsidR="002F786D" w:rsidRPr="002B4F37" w:rsidRDefault="00047130">
      <w:pPr>
        <w:pStyle w:val="Textodenotaderodap"/>
        <w:ind w:left="227"/>
        <w:jc w:val="both"/>
        <w:rPr>
          <w:rFonts w:ascii="Times New Roman" w:hAnsi="Times New Roman"/>
          <w:sz w:val="16"/>
          <w:szCs w:val="16"/>
        </w:rPr>
      </w:pPr>
      <w:r w:rsidRPr="002B4F37">
        <w:rPr>
          <w:rFonts w:ascii="Times New Roman" w:hAnsi="Times New Roman"/>
          <w:sz w:val="16"/>
          <w:szCs w:val="16"/>
        </w:rPr>
        <w:t xml:space="preserve">V – Constituição e funcionamento do </w:t>
      </w:r>
      <w:r w:rsidRPr="002B4F37">
        <w:rPr>
          <w:rFonts w:ascii="Times New Roman" w:hAnsi="Times New Roman"/>
          <w:b/>
          <w:sz w:val="16"/>
          <w:szCs w:val="16"/>
        </w:rPr>
        <w:t>Comitê de Auditoria Estatutário</w:t>
      </w:r>
      <w:r w:rsidRPr="002B4F37">
        <w:rPr>
          <w:rFonts w:ascii="Times New Roman" w:hAnsi="Times New Roman"/>
          <w:sz w:val="16"/>
          <w:szCs w:val="16"/>
        </w:rPr>
        <w:t>;</w:t>
      </w:r>
    </w:p>
    <w:p w:rsidR="002F786D" w:rsidRPr="002B4F37" w:rsidRDefault="00047130">
      <w:pPr>
        <w:pStyle w:val="Textodenotaderodap"/>
        <w:ind w:left="170"/>
        <w:jc w:val="both"/>
        <w:rPr>
          <w:rFonts w:ascii="Times New Roman" w:hAnsi="Times New Roman"/>
          <w:sz w:val="16"/>
          <w:szCs w:val="16"/>
        </w:rPr>
      </w:pPr>
      <w:r w:rsidRPr="002B4F37">
        <w:rPr>
          <w:rFonts w:ascii="Times New Roman" w:hAnsi="Times New Roman"/>
          <w:b/>
          <w:sz w:val="16"/>
          <w:szCs w:val="16"/>
        </w:rPr>
        <w:t>VI - Prazo de gestão unificado dos membros do CA e dos diretores</w:t>
      </w:r>
      <w:r w:rsidRPr="002B4F37">
        <w:rPr>
          <w:rFonts w:ascii="Times New Roman" w:hAnsi="Times New Roman"/>
          <w:sz w:val="16"/>
          <w:szCs w:val="16"/>
        </w:rPr>
        <w:t xml:space="preserve">: até </w:t>
      </w:r>
      <w:proofErr w:type="gramStart"/>
      <w:r w:rsidRPr="002B4F37">
        <w:rPr>
          <w:rFonts w:ascii="Times New Roman" w:hAnsi="Times New Roman"/>
          <w:sz w:val="16"/>
          <w:szCs w:val="16"/>
        </w:rPr>
        <w:t>2</w:t>
      </w:r>
      <w:proofErr w:type="gramEnd"/>
      <w:r w:rsidRPr="002B4F37">
        <w:rPr>
          <w:rFonts w:ascii="Times New Roman" w:hAnsi="Times New Roman"/>
          <w:sz w:val="16"/>
          <w:szCs w:val="16"/>
        </w:rPr>
        <w:t xml:space="preserve"> anos, permitidas no máximo 3 reconduções consecutivas;</w:t>
      </w:r>
    </w:p>
    <w:p w:rsidR="002F786D" w:rsidRPr="002B4F37" w:rsidRDefault="00047130">
      <w:pPr>
        <w:pStyle w:val="Textodenotaderodap"/>
        <w:ind w:left="170"/>
        <w:jc w:val="both"/>
        <w:rPr>
          <w:rFonts w:ascii="Times New Roman" w:hAnsi="Times New Roman"/>
          <w:sz w:val="16"/>
          <w:szCs w:val="16"/>
        </w:rPr>
      </w:pPr>
      <w:r w:rsidRPr="002B4F37">
        <w:rPr>
          <w:rFonts w:ascii="Times New Roman" w:hAnsi="Times New Roman"/>
          <w:sz w:val="16"/>
          <w:szCs w:val="16"/>
        </w:rPr>
        <w:t xml:space="preserve">VII – E no caso de dos membros do </w:t>
      </w:r>
      <w:r w:rsidRPr="002B4F37">
        <w:rPr>
          <w:rFonts w:ascii="Times New Roman" w:hAnsi="Times New Roman"/>
          <w:b/>
          <w:sz w:val="16"/>
          <w:szCs w:val="16"/>
        </w:rPr>
        <w:t>Conselho Fiscal</w:t>
      </w:r>
      <w:r w:rsidRPr="002B4F37">
        <w:rPr>
          <w:rFonts w:ascii="Times New Roman" w:hAnsi="Times New Roman"/>
          <w:sz w:val="16"/>
          <w:szCs w:val="16"/>
        </w:rPr>
        <w:t xml:space="preserve">: até </w:t>
      </w:r>
      <w:proofErr w:type="gramStart"/>
      <w:r w:rsidRPr="002B4F37">
        <w:rPr>
          <w:rFonts w:ascii="Times New Roman" w:hAnsi="Times New Roman"/>
          <w:sz w:val="16"/>
          <w:szCs w:val="16"/>
        </w:rPr>
        <w:t>2</w:t>
      </w:r>
      <w:proofErr w:type="gramEnd"/>
      <w:r w:rsidRPr="002B4F37">
        <w:rPr>
          <w:rFonts w:ascii="Times New Roman" w:hAnsi="Times New Roman"/>
          <w:sz w:val="16"/>
          <w:szCs w:val="16"/>
        </w:rPr>
        <w:t xml:space="preserve"> anos, permitidas 2 reconduções consecutivas.</w:t>
      </w:r>
    </w:p>
  </w:footnote>
  <w:footnote w:id="9">
    <w:p w:rsidR="002F786D" w:rsidRDefault="00047130">
      <w:pPr>
        <w:pStyle w:val="Textodenotaderodap"/>
        <w:ind w:left="170"/>
        <w:jc w:val="both"/>
      </w:pPr>
      <w:r w:rsidRPr="002B4F37">
        <w:rPr>
          <w:rStyle w:val="Caracteresdenotaderodap"/>
          <w:rFonts w:ascii="Times New Roman" w:hAnsi="Times New Roman"/>
          <w:sz w:val="16"/>
          <w:szCs w:val="16"/>
        </w:rPr>
        <w:footnoteRef/>
      </w:r>
      <w:r w:rsidRPr="002B4F37">
        <w:rPr>
          <w:rFonts w:ascii="Times New Roman" w:hAnsi="Times New Roman"/>
          <w:sz w:val="16"/>
          <w:szCs w:val="16"/>
        </w:rPr>
        <w:t xml:space="preserve"> Deve constar no mínimo, </w:t>
      </w:r>
      <w:proofErr w:type="gramStart"/>
      <w:r w:rsidRPr="002B4F37">
        <w:rPr>
          <w:rFonts w:ascii="Times New Roman" w:hAnsi="Times New Roman"/>
          <w:sz w:val="16"/>
          <w:szCs w:val="16"/>
        </w:rPr>
        <w:t>3</w:t>
      </w:r>
      <w:proofErr w:type="gramEnd"/>
      <w:r w:rsidRPr="002B4F37">
        <w:rPr>
          <w:rFonts w:ascii="Times New Roman" w:hAnsi="Times New Roman"/>
          <w:sz w:val="16"/>
          <w:szCs w:val="16"/>
        </w:rPr>
        <w:t xml:space="preserve"> (três) e, no máximo, 5 (cinco) membros.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833" w:type="dxa"/>
      <w:tblInd w:w="-63" w:type="dxa"/>
      <w:tblLayout w:type="fixed"/>
      <w:tblLook w:val="04A0"/>
    </w:tblPr>
    <w:tblGrid>
      <w:gridCol w:w="5274"/>
      <w:gridCol w:w="10559"/>
    </w:tblGrid>
    <w:tr w:rsidR="001A5349" w:rsidTr="00E16E1E">
      <w:trPr>
        <w:trHeight w:val="1424"/>
      </w:trPr>
      <w:tc>
        <w:tcPr>
          <w:tcW w:w="5274" w:type="dxa"/>
          <w:hideMark/>
        </w:tcPr>
        <w:p w:rsidR="00467CAF" w:rsidRDefault="008F039B" w:rsidP="0033198B">
          <w:pPr>
            <w:ind w:left="0" w:firstLine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3031374" cy="712321"/>
                <wp:effectExtent l="19050" t="0" r="0" b="0"/>
                <wp:docPr id="11" name="Imagem 11" descr="NOVA LOGO CGE 2019 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NOVA LOGO CGE 2019 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2008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A5349" w:rsidRPr="00467CAF" w:rsidRDefault="001A5349" w:rsidP="00467CAF">
          <w:pPr>
            <w:rPr>
              <w:lang w:eastAsia="en-US"/>
            </w:rPr>
          </w:pPr>
        </w:p>
      </w:tc>
      <w:tc>
        <w:tcPr>
          <w:tcW w:w="10559" w:type="dxa"/>
          <w:hideMark/>
        </w:tcPr>
        <w:p w:rsidR="001A5349" w:rsidRPr="00396895" w:rsidRDefault="001A5349" w:rsidP="00E16E1E">
          <w:pPr>
            <w:pStyle w:val="Cabealho"/>
            <w:tabs>
              <w:tab w:val="left" w:pos="4286"/>
            </w:tabs>
            <w:ind w:left="113" w:right="6482"/>
            <w:jc w:val="left"/>
            <w:rPr>
              <w:rFonts w:asciiTheme="minorHAnsi" w:hAnsiTheme="minorHAnsi"/>
              <w:color w:val="auto"/>
              <w:sz w:val="20"/>
            </w:rPr>
          </w:pPr>
          <w:r w:rsidRPr="00396895">
            <w:rPr>
              <w:rFonts w:asciiTheme="minorHAnsi" w:eastAsia="Times New Roman" w:hAnsiTheme="minorHAnsi"/>
              <w:bCs/>
              <w:color w:val="auto"/>
              <w:sz w:val="18"/>
              <w:szCs w:val="18"/>
            </w:rPr>
            <w:t>Praça dos Girassóis, Esplanada das Secretarias. S/N</w:t>
          </w:r>
          <w:r w:rsidRPr="00396895">
            <w:rPr>
              <w:rFonts w:asciiTheme="minorHAnsi" w:hAnsiTheme="minorHAnsi"/>
              <w:color w:val="auto"/>
              <w:sz w:val="18"/>
              <w:szCs w:val="18"/>
            </w:rPr>
            <w:t xml:space="preserve"> </w:t>
          </w:r>
        </w:p>
        <w:p w:rsidR="001A5349" w:rsidRPr="00396895" w:rsidRDefault="001A5349" w:rsidP="00661ACB">
          <w:pPr>
            <w:pStyle w:val="Cabealho"/>
            <w:tabs>
              <w:tab w:val="left" w:pos="4286"/>
            </w:tabs>
            <w:ind w:left="113" w:right="6340"/>
            <w:jc w:val="left"/>
            <w:rPr>
              <w:rFonts w:asciiTheme="minorHAnsi" w:hAnsiTheme="minorHAnsi"/>
              <w:color w:val="auto"/>
            </w:rPr>
          </w:pPr>
          <w:r w:rsidRPr="00396895">
            <w:rPr>
              <w:rFonts w:asciiTheme="minorHAnsi" w:hAnsiTheme="minorHAnsi"/>
              <w:color w:val="auto"/>
              <w:sz w:val="18"/>
            </w:rPr>
            <w:t>Av. NS-02, Prédio I, s/nº. Plano Diretor Norte</w:t>
          </w:r>
        </w:p>
        <w:p w:rsidR="001A5349" w:rsidRPr="00396895" w:rsidRDefault="001A5349" w:rsidP="00661ACB">
          <w:pPr>
            <w:pStyle w:val="Cabealho"/>
            <w:tabs>
              <w:tab w:val="left" w:pos="4286"/>
            </w:tabs>
            <w:ind w:left="113" w:right="6340"/>
            <w:jc w:val="left"/>
            <w:rPr>
              <w:rFonts w:asciiTheme="minorHAnsi" w:hAnsiTheme="minorHAnsi"/>
              <w:color w:val="auto"/>
            </w:rPr>
          </w:pPr>
          <w:r w:rsidRPr="00396895">
            <w:rPr>
              <w:rFonts w:asciiTheme="minorHAnsi" w:hAnsiTheme="minorHAnsi"/>
              <w:color w:val="auto"/>
              <w:sz w:val="18"/>
              <w:szCs w:val="18"/>
            </w:rPr>
            <w:t>Palmas – Tocantins – CEP: 77.001-002</w:t>
          </w:r>
        </w:p>
        <w:p w:rsidR="001A5349" w:rsidRDefault="001A5349" w:rsidP="00661ACB">
          <w:pPr>
            <w:pStyle w:val="Cabealho"/>
            <w:tabs>
              <w:tab w:val="left" w:pos="4286"/>
            </w:tabs>
            <w:ind w:left="113" w:right="6340"/>
            <w:jc w:val="left"/>
            <w:rPr>
              <w:lang w:eastAsia="en-US"/>
            </w:rPr>
          </w:pPr>
          <w:proofErr w:type="spellStart"/>
          <w:r w:rsidRPr="00396895">
            <w:rPr>
              <w:rFonts w:asciiTheme="minorHAnsi" w:hAnsiTheme="minorHAnsi"/>
              <w:color w:val="auto"/>
              <w:sz w:val="18"/>
              <w:szCs w:val="18"/>
            </w:rPr>
            <w:t>Tel</w:t>
          </w:r>
          <w:proofErr w:type="spellEnd"/>
          <w:r w:rsidRPr="00396895">
            <w:rPr>
              <w:rFonts w:asciiTheme="minorHAnsi" w:hAnsiTheme="minorHAnsi"/>
              <w:color w:val="auto"/>
              <w:sz w:val="18"/>
              <w:szCs w:val="18"/>
            </w:rPr>
            <w:t>: +55 63 3218-2563</w:t>
          </w:r>
          <w:r w:rsidRPr="00396895">
            <w:rPr>
              <w:rFonts w:asciiTheme="minorHAnsi" w:hAnsiTheme="minorHAnsi"/>
              <w:color w:val="auto"/>
              <w:sz w:val="18"/>
              <w:szCs w:val="18"/>
            </w:rPr>
            <w:br/>
          </w:r>
          <w:hyperlink r:id="rId2" w:history="1">
            <w:r w:rsidR="00E16E1E" w:rsidRPr="00EC7A92">
              <w:rPr>
                <w:rStyle w:val="Hyperlink"/>
                <w:rFonts w:asciiTheme="minorHAnsi" w:hAnsiTheme="minorHAnsi"/>
                <w:sz w:val="18"/>
                <w:szCs w:val="18"/>
              </w:rPr>
              <w:t>www.cge.to.gov.br</w:t>
            </w:r>
          </w:hyperlink>
        </w:p>
      </w:tc>
    </w:tr>
  </w:tbl>
  <w:p w:rsidR="001A5349" w:rsidRDefault="001A5349" w:rsidP="00E16E1E">
    <w:pPr>
      <w:pStyle w:val="Cabealho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227"/>
    <w:multiLevelType w:val="multilevel"/>
    <w:tmpl w:val="31A4B5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7DE46D5"/>
    <w:multiLevelType w:val="multilevel"/>
    <w:tmpl w:val="33FA735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A2DA1"/>
    <w:multiLevelType w:val="multilevel"/>
    <w:tmpl w:val="B8400814"/>
    <w:lvl w:ilvl="0">
      <w:start w:val="1"/>
      <w:numFmt w:val="lowerLetter"/>
      <w:lvlText w:val="%1)"/>
      <w:lvlJc w:val="left"/>
      <w:pPr>
        <w:ind w:left="141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39" w:hanging="360"/>
      </w:pPr>
    </w:lvl>
    <w:lvl w:ilvl="2">
      <w:start w:val="1"/>
      <w:numFmt w:val="lowerRoman"/>
      <w:lvlText w:val="%3."/>
      <w:lvlJc w:val="right"/>
      <w:pPr>
        <w:ind w:left="2859" w:hanging="180"/>
      </w:pPr>
    </w:lvl>
    <w:lvl w:ilvl="3">
      <w:start w:val="1"/>
      <w:numFmt w:val="decimal"/>
      <w:lvlText w:val="%4."/>
      <w:lvlJc w:val="left"/>
      <w:pPr>
        <w:ind w:left="3579" w:hanging="360"/>
      </w:pPr>
    </w:lvl>
    <w:lvl w:ilvl="4">
      <w:start w:val="1"/>
      <w:numFmt w:val="lowerLetter"/>
      <w:lvlText w:val="%5."/>
      <w:lvlJc w:val="left"/>
      <w:pPr>
        <w:ind w:left="4299" w:hanging="360"/>
      </w:pPr>
    </w:lvl>
    <w:lvl w:ilvl="5">
      <w:start w:val="1"/>
      <w:numFmt w:val="lowerRoman"/>
      <w:lvlText w:val="%6."/>
      <w:lvlJc w:val="right"/>
      <w:pPr>
        <w:ind w:left="5019" w:hanging="180"/>
      </w:pPr>
    </w:lvl>
    <w:lvl w:ilvl="6">
      <w:start w:val="1"/>
      <w:numFmt w:val="decimal"/>
      <w:lvlText w:val="%7."/>
      <w:lvlJc w:val="left"/>
      <w:pPr>
        <w:ind w:left="5739" w:hanging="360"/>
      </w:pPr>
    </w:lvl>
    <w:lvl w:ilvl="7">
      <w:start w:val="1"/>
      <w:numFmt w:val="lowerLetter"/>
      <w:lvlText w:val="%8."/>
      <w:lvlJc w:val="left"/>
      <w:pPr>
        <w:ind w:left="6459" w:hanging="360"/>
      </w:pPr>
    </w:lvl>
    <w:lvl w:ilvl="8">
      <w:start w:val="1"/>
      <w:numFmt w:val="lowerRoman"/>
      <w:lvlText w:val="%9."/>
      <w:lvlJc w:val="right"/>
      <w:pPr>
        <w:ind w:left="717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786D"/>
    <w:rsid w:val="00047130"/>
    <w:rsid w:val="001A5349"/>
    <w:rsid w:val="002818AE"/>
    <w:rsid w:val="002B4F37"/>
    <w:rsid w:val="002F786D"/>
    <w:rsid w:val="0033198B"/>
    <w:rsid w:val="0038695E"/>
    <w:rsid w:val="00396895"/>
    <w:rsid w:val="00422D19"/>
    <w:rsid w:val="0046449E"/>
    <w:rsid w:val="00467CAF"/>
    <w:rsid w:val="00661ACB"/>
    <w:rsid w:val="006858CA"/>
    <w:rsid w:val="006913AC"/>
    <w:rsid w:val="00783A03"/>
    <w:rsid w:val="008F039B"/>
    <w:rsid w:val="00921B63"/>
    <w:rsid w:val="00A9137E"/>
    <w:rsid w:val="00AF6952"/>
    <w:rsid w:val="00DF749A"/>
    <w:rsid w:val="00E16E1E"/>
    <w:rsid w:val="00EC672F"/>
    <w:rsid w:val="00FC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9E"/>
    <w:pPr>
      <w:spacing w:after="16" w:line="247" w:lineRule="auto"/>
      <w:ind w:left="10" w:right="8759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har"/>
    <w:uiPriority w:val="9"/>
    <w:unhideWhenUsed/>
    <w:qFormat/>
    <w:rsid w:val="0046449E"/>
    <w:pPr>
      <w:keepNext/>
      <w:keepLines/>
      <w:spacing w:after="0"/>
      <w:ind w:right="3"/>
      <w:jc w:val="center"/>
      <w:outlineLvl w:val="0"/>
    </w:pPr>
    <w:rPr>
      <w:b/>
      <w:sz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46449E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RodapChar">
    <w:name w:val="Rodapé Char"/>
    <w:basedOn w:val="Fontepargpadro"/>
    <w:link w:val="Rodap"/>
    <w:uiPriority w:val="99"/>
    <w:qFormat/>
    <w:rsid w:val="00D17CF4"/>
    <w:rPr>
      <w:rFonts w:ascii="Arial" w:eastAsia="Arial" w:hAnsi="Arial" w:cs="Arial"/>
      <w:color w:val="000000"/>
      <w:sz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271B6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ncoradanotaderodap">
    <w:name w:val="Âncora da nota de rodapé"/>
    <w:rsid w:val="0046449E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271B69"/>
    <w:rPr>
      <w:vertAlign w:val="superscript"/>
    </w:rPr>
  </w:style>
  <w:style w:type="character" w:customStyle="1" w:styleId="LinkdaInternet">
    <w:name w:val="Link da Internet"/>
    <w:rsid w:val="0046449E"/>
    <w:rPr>
      <w:color w:val="000080"/>
      <w:u w:val="single"/>
    </w:rPr>
  </w:style>
  <w:style w:type="character" w:customStyle="1" w:styleId="Caracteresdenotaderodap">
    <w:name w:val="Caracteres de nota de rodapé"/>
    <w:qFormat/>
    <w:rsid w:val="0046449E"/>
  </w:style>
  <w:style w:type="character" w:customStyle="1" w:styleId="ncoradanotadefim">
    <w:name w:val="Âncora da nota de fim"/>
    <w:rsid w:val="0046449E"/>
    <w:rPr>
      <w:vertAlign w:val="superscript"/>
    </w:rPr>
  </w:style>
  <w:style w:type="character" w:customStyle="1" w:styleId="Caracteresdenotadefim">
    <w:name w:val="Caracteres de nota de fim"/>
    <w:qFormat/>
    <w:rsid w:val="0046449E"/>
  </w:style>
  <w:style w:type="paragraph" w:styleId="Ttulo">
    <w:name w:val="Title"/>
    <w:basedOn w:val="Normal"/>
    <w:next w:val="Corpodetexto"/>
    <w:qFormat/>
    <w:rsid w:val="0046449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46449E"/>
    <w:pPr>
      <w:spacing w:after="140" w:line="276" w:lineRule="auto"/>
    </w:pPr>
  </w:style>
  <w:style w:type="paragraph" w:styleId="Lista">
    <w:name w:val="List"/>
    <w:basedOn w:val="Corpodetexto"/>
    <w:rsid w:val="0046449E"/>
    <w:rPr>
      <w:rFonts w:ascii="Times New Roman" w:hAnsi="Times New Roman" w:cs="Lohit Devanagari"/>
    </w:rPr>
  </w:style>
  <w:style w:type="paragraph" w:styleId="Legenda">
    <w:name w:val="caption"/>
    <w:basedOn w:val="Normal"/>
    <w:qFormat/>
    <w:rsid w:val="0046449E"/>
    <w:pPr>
      <w:suppressLineNumbers/>
      <w:spacing w:before="120" w:after="120"/>
    </w:pPr>
    <w:rPr>
      <w:rFonts w:ascii="Times New Roman" w:hAnsi="Times New Roman" w:cs="Lohit Devanagari"/>
      <w:i/>
      <w:iCs/>
      <w:szCs w:val="24"/>
    </w:rPr>
  </w:style>
  <w:style w:type="paragraph" w:customStyle="1" w:styleId="ndice">
    <w:name w:val="Índice"/>
    <w:basedOn w:val="Normal"/>
    <w:qFormat/>
    <w:rsid w:val="0046449E"/>
    <w:pPr>
      <w:suppressLineNumbers/>
    </w:pPr>
    <w:rPr>
      <w:rFonts w:ascii="Times New Roman" w:hAnsi="Times New Roman" w:cs="Lohit Devanagari"/>
    </w:rPr>
  </w:style>
  <w:style w:type="paragraph" w:customStyle="1" w:styleId="CabealhoeRodap">
    <w:name w:val="Cabeçalho e Rodapé"/>
    <w:basedOn w:val="Normal"/>
    <w:qFormat/>
    <w:rsid w:val="0046449E"/>
  </w:style>
  <w:style w:type="paragraph" w:styleId="Rodap">
    <w:name w:val="footer"/>
    <w:basedOn w:val="Normal"/>
    <w:link w:val="RodapChar"/>
    <w:uiPriority w:val="99"/>
    <w:unhideWhenUsed/>
    <w:rsid w:val="00D17CF4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4770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1B69"/>
    <w:pPr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paragraph" w:styleId="Cabealho">
    <w:name w:val="header"/>
    <w:basedOn w:val="Normal"/>
    <w:link w:val="CabealhoChar"/>
    <w:uiPriority w:val="99"/>
    <w:rsid w:val="0046449E"/>
  </w:style>
  <w:style w:type="paragraph" w:customStyle="1" w:styleId="Contedodatabela">
    <w:name w:val="Conteúdo da tabela"/>
    <w:basedOn w:val="Normal"/>
    <w:qFormat/>
    <w:rsid w:val="0046449E"/>
    <w:pPr>
      <w:suppressLineNumbers/>
    </w:pPr>
  </w:style>
  <w:style w:type="paragraph" w:customStyle="1" w:styleId="Ttulodetabela">
    <w:name w:val="Título de tabela"/>
    <w:basedOn w:val="Contedodatabela"/>
    <w:qFormat/>
    <w:rsid w:val="0046449E"/>
    <w:pPr>
      <w:jc w:val="center"/>
    </w:pPr>
    <w:rPr>
      <w:b/>
      <w:bCs/>
    </w:rPr>
  </w:style>
  <w:style w:type="table" w:customStyle="1" w:styleId="TableGrid">
    <w:name w:val="TableGrid"/>
    <w:rsid w:val="004644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349"/>
    <w:rPr>
      <w:rFonts w:ascii="Tahoma" w:eastAsia="Arial" w:hAnsi="Tahoma" w:cs="Tahoma"/>
      <w:color w:val="000000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A5349"/>
    <w:rPr>
      <w:rFonts w:ascii="Arial" w:eastAsia="Arial" w:hAnsi="Arial" w:cs="Arial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2B4F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4F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4F37"/>
    <w:rPr>
      <w:rFonts w:ascii="Arial" w:eastAsia="Arial" w:hAnsi="Arial" w:cs="Arial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F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F37"/>
    <w:rPr>
      <w:rFonts w:ascii="Arial" w:eastAsia="Arial" w:hAnsi="Arial" w:cs="Arial"/>
      <w:b/>
      <w:bCs/>
      <w:color w:val="000000"/>
      <w:szCs w:val="20"/>
    </w:rPr>
  </w:style>
  <w:style w:type="character" w:styleId="Hyperlink">
    <w:name w:val="Hyperlink"/>
    <w:basedOn w:val="Fontepargpadro"/>
    <w:uiPriority w:val="99"/>
    <w:unhideWhenUsed/>
    <w:rsid w:val="00E16E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" w:line="247" w:lineRule="auto"/>
      <w:ind w:left="10" w:right="8759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har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b/>
      <w:sz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RodapChar">
    <w:name w:val="Rodapé Char"/>
    <w:basedOn w:val="Fontepargpadro"/>
    <w:link w:val="Rodap"/>
    <w:uiPriority w:val="99"/>
    <w:qFormat/>
    <w:rsid w:val="00D17CF4"/>
    <w:rPr>
      <w:rFonts w:ascii="Arial" w:eastAsia="Arial" w:hAnsi="Arial" w:cs="Arial"/>
      <w:color w:val="000000"/>
      <w:sz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271B6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271B69"/>
    <w:rPr>
      <w:vertAlign w:val="superscript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Times New Roman" w:hAnsi="Times New Roman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Times New Roman" w:hAnsi="Times New Roman" w:cs="Lohit Devanagari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D17CF4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4770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1B69"/>
    <w:pPr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paragraph" w:styleId="Cabealho">
    <w:name w:val="header"/>
    <w:basedOn w:val="Normal"/>
    <w:link w:val="CabealhoChar"/>
    <w:uiPriority w:val="99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349"/>
    <w:rPr>
      <w:rFonts w:ascii="Tahoma" w:eastAsia="Arial" w:hAnsi="Tahoma" w:cs="Tahoma"/>
      <w:color w:val="000000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A5349"/>
    <w:rPr>
      <w:rFonts w:ascii="Arial" w:eastAsia="Arial" w:hAnsi="Arial" w:cs="Arial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2B4F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4F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4F37"/>
    <w:rPr>
      <w:rFonts w:ascii="Arial" w:eastAsia="Arial" w:hAnsi="Arial" w:cs="Arial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F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F37"/>
    <w:rPr>
      <w:rFonts w:ascii="Arial" w:eastAsia="Arial" w:hAnsi="Arial" w:cs="Arial"/>
      <w:b/>
      <w:bCs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ge.to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0CA39-3047-40A1-A204-2C37EEF8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3</Pages>
  <Words>1052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Veralúcia Rodrigues Barros</dc:creator>
  <cp:lastModifiedBy>Adelvy</cp:lastModifiedBy>
  <cp:revision>34</cp:revision>
  <cp:lastPrinted>2019-09-12T18:33:00Z</cp:lastPrinted>
  <dcterms:created xsi:type="dcterms:W3CDTF">2018-02-21T12:26:00Z</dcterms:created>
  <dcterms:modified xsi:type="dcterms:W3CDTF">2020-04-02T19:26:00Z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