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E6" w:rsidRPr="008A51DA" w:rsidRDefault="008A51DA">
      <w:pPr>
        <w:tabs>
          <w:tab w:val="center" w:pos="4419"/>
        </w:tabs>
        <w:spacing w:after="0"/>
        <w:ind w:right="-1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pt-BR"/>
        </w:rPr>
        <w:t xml:space="preserve"> CHECK</w:t>
      </w:r>
      <w:r w:rsidR="00690923" w:rsidRPr="008A51DA">
        <w:rPr>
          <w:rFonts w:ascii="Times New Roman" w:eastAsia="Times New Roman" w:hAnsi="Times New Roman" w:cs="Arial"/>
          <w:b/>
          <w:bCs/>
          <w:sz w:val="20"/>
          <w:szCs w:val="20"/>
          <w:lang w:eastAsia="pt-BR"/>
        </w:rPr>
        <w:t>LIST</w:t>
      </w:r>
    </w:p>
    <w:p w:rsidR="00DC4CE6" w:rsidRPr="008A51DA" w:rsidRDefault="00DC4CE6">
      <w:pPr>
        <w:spacing w:after="0"/>
        <w:ind w:right="-1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DC4CE6" w:rsidRPr="008A51DA" w:rsidRDefault="00690923">
      <w:pPr>
        <w:spacing w:after="0" w:line="36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A51DA">
        <w:rPr>
          <w:rFonts w:ascii="Times New Roman" w:eastAsia="Times New Roman" w:hAnsi="Times New Roman" w:cs="Arial"/>
          <w:b/>
          <w:sz w:val="20"/>
          <w:szCs w:val="20"/>
          <w:u w:val="single"/>
          <w:lang w:eastAsia="pt-BR"/>
        </w:rPr>
        <w:t>Prestação de Contas de Repasse de Recursos</w:t>
      </w:r>
    </w:p>
    <w:p w:rsidR="00DC4CE6" w:rsidRPr="008A51DA" w:rsidRDefault="00690923">
      <w:pPr>
        <w:spacing w:after="0" w:line="36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A51DA">
        <w:rPr>
          <w:rFonts w:ascii="Times New Roman" w:eastAsia="Times New Roman" w:hAnsi="Times New Roman" w:cs="Arial"/>
          <w:b/>
          <w:sz w:val="20"/>
          <w:szCs w:val="20"/>
          <w:u w:val="single"/>
          <w:lang w:eastAsia="pt-BR"/>
        </w:rPr>
        <w:t xml:space="preserve">Termo de Colaboração ou Termo de Fomento </w:t>
      </w:r>
    </w:p>
    <w:p w:rsidR="00DC4CE6" w:rsidRDefault="00DC4CE6">
      <w:pPr>
        <w:spacing w:after="0"/>
        <w:ind w:right="-1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DC4CE6" w:rsidRPr="008A51DA" w:rsidRDefault="00690923">
      <w:pPr>
        <w:spacing w:after="0" w:line="36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Órgão/Entidade: _____________________________________________________</w:t>
      </w:r>
      <w:r w:rsidR="009B4700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________</w:t>
      </w: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________________________</w:t>
      </w:r>
    </w:p>
    <w:p w:rsidR="00DC4CE6" w:rsidRPr="008A51DA" w:rsidRDefault="00690923">
      <w:pPr>
        <w:spacing w:after="0" w:line="36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Parceiro: ___________________________________________________________________</w:t>
      </w:r>
      <w:r w:rsidR="009B4700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________</w:t>
      </w: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________________</w:t>
      </w:r>
    </w:p>
    <w:p w:rsidR="00DC4CE6" w:rsidRPr="008A51DA" w:rsidRDefault="00690923">
      <w:pPr>
        <w:spacing w:after="0" w:line="36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Termo de Repasse de Recurso nº: __________________________ Processo nº: ___________________</w:t>
      </w:r>
      <w:r w:rsidR="009B4700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_________</w:t>
      </w: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</w:t>
      </w:r>
    </w:p>
    <w:p w:rsidR="00DC4CE6" w:rsidRPr="008A51DA" w:rsidRDefault="00690923">
      <w:pPr>
        <w:spacing w:after="0" w:line="36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8A51DA">
        <w:rPr>
          <w:rFonts w:ascii="Times New Roman" w:eastAsia="Times New Roman" w:hAnsi="Times New Roman" w:cs="Times New Roman"/>
          <w:sz w:val="18"/>
          <w:szCs w:val="18"/>
          <w:lang w:eastAsia="pt-BR"/>
        </w:rPr>
        <w:t>Data da Celebração: ______________________ Data da Prestação de Contas: ___________________________</w:t>
      </w:r>
      <w:r w:rsidR="009B4700">
        <w:rPr>
          <w:rFonts w:ascii="Times New Roman" w:eastAsia="Times New Roman" w:hAnsi="Times New Roman" w:cs="Times New Roman"/>
          <w:sz w:val="18"/>
          <w:szCs w:val="18"/>
          <w:lang w:eastAsia="pt-BR"/>
        </w:rPr>
        <w:t>_________</w:t>
      </w:r>
    </w:p>
    <w:p w:rsidR="00DC4CE6" w:rsidRPr="008A51DA" w:rsidRDefault="00690923">
      <w:pPr>
        <w:spacing w:before="223" w:after="223"/>
        <w:jc w:val="both"/>
        <w:rPr>
          <w:rFonts w:ascii="Times New Roman" w:hAnsi="Times New Roman" w:cs="Times New Roman"/>
          <w:sz w:val="18"/>
          <w:szCs w:val="18"/>
        </w:rPr>
      </w:pPr>
      <w:r w:rsidRPr="008A51DA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Prestação de Contas</w:t>
      </w:r>
      <w:r w:rsidRPr="008A51DA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8A51D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procedimento em que se analisa e se avalia a execução da parceria, pelo qual seja possível verificar o cumprimento do objeto da parceria e o alcance das metas e dos resultados previstos. Lei Federal nº 13.019/2014 e Decreto Estadual nº 5.816/</w:t>
      </w:r>
      <w:r w:rsidR="00431A4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20</w:t>
      </w:r>
      <w:r w:rsidRPr="008A51D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18.</w:t>
      </w:r>
    </w:p>
    <w:p w:rsidR="00DC4CE6" w:rsidRPr="008A51DA" w:rsidRDefault="00DC4CE6">
      <w:pPr>
        <w:spacing w:after="0"/>
        <w:ind w:right="-1"/>
        <w:jc w:val="both"/>
        <w:rPr>
          <w:rFonts w:ascii="Times New Roman" w:eastAsia="Times New Roman" w:hAnsi="Times New Roman" w:cs="Times New Roman"/>
          <w:strike/>
          <w:sz w:val="18"/>
          <w:szCs w:val="18"/>
          <w:u w:val="single"/>
          <w:lang w:eastAsia="pt-BR"/>
        </w:rPr>
      </w:pPr>
    </w:p>
    <w:p w:rsidR="00DC4CE6" w:rsidRPr="008A51DA" w:rsidRDefault="00690923">
      <w:pPr>
        <w:spacing w:after="0" w:line="240" w:lineRule="auto"/>
        <w:ind w:right="-1"/>
        <w:rPr>
          <w:rFonts w:ascii="Times New Roman" w:eastAsia="Arial" w:hAnsi="Times New Roman" w:cs="Times New Roman"/>
          <w:b/>
          <w:sz w:val="18"/>
          <w:szCs w:val="18"/>
        </w:rPr>
      </w:pPr>
      <w:r w:rsidRPr="008A51DA">
        <w:rPr>
          <w:rFonts w:ascii="Times New Roman" w:eastAsia="Arial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4900" w:type="pct"/>
        <w:tblInd w:w="76" w:type="dxa"/>
        <w:tblLook w:val="01E0"/>
      </w:tblPr>
      <w:tblGrid>
        <w:gridCol w:w="5702"/>
        <w:gridCol w:w="2010"/>
        <w:gridCol w:w="767"/>
        <w:gridCol w:w="622"/>
      </w:tblGrid>
      <w:tr w:rsidR="00DC4CE6" w:rsidRPr="008A51DA" w:rsidTr="00431A49">
        <w:trPr>
          <w:trHeight w:val="503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B4700" w:rsidRDefault="00690923" w:rsidP="00431A49">
            <w:pPr>
              <w:spacing w:after="0"/>
              <w:ind w:left="5"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Exigência para Formalização de Procedimentos para </w:t>
            </w:r>
          </w:p>
          <w:p w:rsidR="00DC4CE6" w:rsidRPr="008A51DA" w:rsidRDefault="00690923" w:rsidP="00431A49">
            <w:pPr>
              <w:spacing w:before="57" w:after="57"/>
              <w:ind w:left="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Prestação de Contas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C4CE6" w:rsidRPr="008A51DA" w:rsidRDefault="00690923">
            <w:pPr>
              <w:spacing w:after="0"/>
              <w:ind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C4CE6" w:rsidRPr="008A51DA" w:rsidRDefault="00690923">
            <w:pPr>
              <w:spacing w:after="0"/>
              <w:ind w:left="-146" w:right="-32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C4CE6" w:rsidRPr="008A51DA" w:rsidRDefault="0069092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8A51DA">
            <w:pPr>
              <w:pStyle w:val="PargrafodaLista"/>
              <w:numPr>
                <w:ilvl w:val="0"/>
                <w:numId w:val="1"/>
              </w:numPr>
              <w:spacing w:before="57" w:after="57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Os documentos da prestação de contas foram preferencialmente, por meio eletrônico nos moldes do processo de formalização da parceria – PAE, juntamente registrada no Sistema de Acompanhamento de Convênios e parcerias, no endereço</w:t>
            </w:r>
            <w:r w:rsidR="008A51DA" w:rsidRPr="008A51DA">
              <w:t xml:space="preserve"> </w:t>
            </w:r>
            <w:hyperlink r:id="rId8" w:history="1">
              <w:r w:rsidR="008A51DA" w:rsidRPr="008A51DA">
                <w:rPr>
                  <w:rStyle w:val="Hyperlink"/>
                  <w:rFonts w:ascii="Times New Roman" w:eastAsia="Arial" w:hAnsi="Times New Roman" w:cs="Times New Roman"/>
                  <w:color w:val="4F81BD" w:themeColor="accent1"/>
                  <w:sz w:val="18"/>
                  <w:szCs w:val="18"/>
                </w:rPr>
                <w:t>http://www.gestao.cge.to.gov.br/convenios/apl_Login/</w:t>
              </w:r>
            </w:hyperlink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46, § único, art. 48, §7º e art. 54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before="57" w:after="57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ofício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encaminhando os documentos para a</w:t>
            </w:r>
            <w:r w:rsidRPr="008A51DA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Prestação de Contas ao Órgão Concedente?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47, §3º, inc. I do Decreto Estadual nº 5.816/18; 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2º, § 1º da IN TCE/TO nº 04/2004)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before="57" w:after="57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A prestação de Contas foi apresentada no prazo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estabelecido, respeitando o prazo de até 30 (trinta dias após o encerramento da vigência ou a conclusão da execução do objeto, o que ocorrer primeiro, e poderá ser prorrogado por igual período, desde que devidamente justificado?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47, §5º do Decreto Estadual nº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5.816/18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No caso em que a duração da parceria excedeu o período de um ano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, a Organização da sociedade Civil apresentou a Prestação de Contas Parcial ao final de cada exercício, para fins de monitoramento do cumprimento do objeto?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rt. 49,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rt. 67, § 2º e art. 69 da Lei Federal nº </w:t>
            </w:r>
            <w:bookmarkStart w:id="0" w:name="_GoBack"/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D748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bookmarkEnd w:id="0"/>
            <w:r w:rsidR="00D74885">
              <w:rPr>
                <w:rFonts w:ascii="Times New Roman" w:hAnsi="Times New Roman" w:cs="Times New Roman"/>
                <w:sz w:val="18"/>
                <w:szCs w:val="18"/>
              </w:rPr>
              <w:t xml:space="preserve">9/14 e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74885">
              <w:rPr>
                <w:rFonts w:ascii="Times New Roman" w:hAnsi="Times New Roman" w:cs="Times New Roman"/>
                <w:sz w:val="18"/>
                <w:szCs w:val="18"/>
              </w:rPr>
              <w:t xml:space="preserve">rt. 46, inc. I,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parágrafo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único do Decreto Estadual nº 5.816/2018)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No caso de repasse em 3(três) ou mais parcelas financeiras, a Organização da sociedade Civil apresentou os documentos referente a prestação de contas parcial da 1º parcela, conforme art. 18, § único da IN TCE/TO nº 004/04? E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em caso de descumprimento, foi oficializado, fixando prazo para o cumprimento da obrigação?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38 e 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47, § 4º 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do Decreto Estadual nº 5.816/2018)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Foi apresentado </w:t>
            </w:r>
            <w:r w:rsidRPr="008A51D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Relatório de Cumprimento do Objeto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  <w:u w:val="single"/>
              </w:rPr>
              <w:footnoteReference w:id="3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, elaborado pela organização da sociedade Civil, com subsídios necessários para a avaliação e manifestação do gestor quanto à efetiva conclusão do objeto pactuado?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66,</w:t>
            </w:r>
            <w:r w:rsidR="008A51DA">
              <w:rPr>
                <w:rFonts w:ascii="Times New Roman" w:hAnsi="Times New Roman" w:cs="Times New Roman"/>
                <w:sz w:val="18"/>
                <w:szCs w:val="18"/>
              </w:rPr>
              <w:t xml:space="preserve"> inc. I Lei Federal nº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A51DA">
              <w:rPr>
                <w:rFonts w:ascii="Times New Roman" w:hAnsi="Times New Roman" w:cs="Times New Roman"/>
                <w:sz w:val="18"/>
                <w:szCs w:val="18"/>
              </w:rPr>
              <w:t>13.019/14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47, § 3º, inc. II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Consta o </w:t>
            </w:r>
            <w:r w:rsidRPr="008A51D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Demonstrativo de Execução de Receita e Despesa</w:t>
            </w:r>
            <w:r w:rsidRPr="008A51DA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  <w:u w:val="single"/>
              </w:rPr>
              <w:footnoteReference w:id="4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, evidenciando de forma consolidada os recursos recebidos em transferência, os rendimentos de aplicação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dos recursos no mercado financeiro, quando for o caso e os saldos, na conformidade do inciso V, art. 4º, IN/TCE-TO nº 004/2004 - ANEXO IV?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47, § 3º, inc. III do Decreto Estadual nº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Consta a </w:t>
            </w:r>
            <w:r w:rsidRPr="008A51D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Relação de pagamentos</w:t>
            </w:r>
            <w:r w:rsidRPr="008A51DA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6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, conforme origem dos recursos utilizados, em cada parcela liberada?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47, § 3º, inc. IV do Decreto Estadual nº 5.816/18; art. 4º, inc. XI da IN/TCE-TO nº 004/2004 - ANEXO VII)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Foram a presentados documentos comprobatórios das despesas em ordem cronológica, segundo o desembolso contendo as descrições detalhadas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7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dos bens/serviços adquiridos?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47, §2º do Decreto Estadual nº 5.816/18; 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Art. 4º, inc. XI-C da IN TCE/TO nº 004/04)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C4CE6" w:rsidRPr="008A51DA" w:rsidTr="009B4700">
        <w:trPr>
          <w:trHeight w:val="1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tabs>
                <w:tab w:val="left" w:pos="363"/>
              </w:tabs>
              <w:spacing w:after="0"/>
              <w:ind w:left="454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Constam para todas as despesas realizadas dentro da vigência da Parceria, comprovantes fiscais ou recibos, com data, valor, nome e número do CNPJ da entidade, CNPJ/CPF do fornecedor/prestador de serviço, descrição detalhada dos bens/serviços adquiridos, número do Instrumento da parceria?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§1º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tabs>
                <w:tab w:val="left" w:pos="363"/>
              </w:tabs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Conciliação Bancária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, acompanhada do extrato da conta bancária e dos rendimentos, evidenciando desde o primeiro recebimento até a última movimentação financeira?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V do Decreto Estadual nº 5.816/18; art. 4º, inc. VII, VIII e IX da IN TCE/TO nº 004/04)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tabs>
                <w:tab w:val="left" w:pos="363"/>
              </w:tabs>
              <w:spacing w:after="0"/>
              <w:ind w:left="454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demonstrativo específico evidenciando as receitas financeiras auferidas na forma de poupança ou em fundo de aplicação financeira de curto prazo, 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e comprovação de que os mesmos foram aplicados no objeto do convênio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116, §§ 4º e 5º da Lei nº 8.666/93; 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36, §1º inc. I e II,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8A51D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Relatório de Execução Físico Financeira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está apresentado com a descrição das despesas e receitas efetivamente realizadas e sua vinculação com a execução do objeto? Caso não havendo o alcance das metas ou irregularidade foi apresentado justificativa?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rt. 66, II, da Lei 13.019/14;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47, §3º, inc. VI do Decreto Estadual nº 5.816/18; art. 4º, inc. IV da IN TCE/TO nº 004/04)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Tratando-se de execução de serviços de engenharia e de obras, deve apresentar 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Ordem de serviços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que iniciou os trabalhos e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boletim de medição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contendo todos os serviços realizados?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VII e VIII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1"/>
              </w:numPr>
              <w:spacing w:before="57" w:after="57"/>
              <w:ind w:left="48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Tratando-se de execução de obras e ou serviços de engenharia, recuperação, reforma ampliação, conservação e construção foram apresentados os seguintes documento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: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5º da IN TCE/TO nº 004/04)</w:t>
            </w: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comprovação do exercício pleno da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propriedade do imóvel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, mediante certidão de registro no cartório de imóvel, quando o termo pactuado tiver por objeto a execução de obras, ou benfeitorias no mesmo, art. 4º, inciso XIX da IN/TCE 004/2004?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Cópia dos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projetos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memorial descritivo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cronograma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planilha orçamentária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quando dos recursos se destinarem a obras ou serviços de engenharia, com documentação ilustrativa, quando for o caso;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Cópia do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termo de aceitação definitiva da obra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, quando o instrumento objetivar a execução de obra ou serviço de engenharia?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X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 comprovação da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qualificação técnica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dos executores da obra, com o registro ou inscrição na entidade profissional competente?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Prova de que a empresa executora possui no seu quadro permanente, profissionais qualificados para a execução ou manutenção das ações?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Justificativa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quando ocorrer a construção de obra, ou parte dela, diferente do modelo aprovado?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 w:rsidP="009B470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89" w:right="60" w:hanging="31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A relação de contemplados quando for o caso de construção de unidades habitacionais construídas, com os respectivos endereços?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Apresentou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Relatório Fotográfico,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acompanhado de matérias publicadas em sites e jornais, discriminando os detalhes dos serviços e/ou aquisições realizados?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IX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Relação de Bens permanentes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adquiridos, construídos ou produzidos, quando for o caso?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XI do Decreto Estadual nº 5.816/18; art. 4º, inc. VI da IN TCE/TO nº 004/04)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o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Comprovante de depósito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eventual devolução dos saldos</w:t>
            </w:r>
            <w:r w:rsidRPr="008A51DA">
              <w:rPr>
                <w:rStyle w:val="ncoradanotaderodap"/>
                <w:rFonts w:ascii="Times New Roman" w:eastAsia="Arial" w:hAnsi="Times New Roman" w:cs="Times New Roman"/>
                <w:sz w:val="18"/>
                <w:szCs w:val="18"/>
              </w:rPr>
              <w:footnoteReference w:id="8"/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recursos não utilizados, em conta bancária específica indicada no termo da Parceria?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XII do Decreto Estadual nº 5.816/18; art. 61, inc. III da PI nº 424/16; art. 4º, inc. X da IN TCE/TO nº 004/04)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nos autos cópias da </w:t>
            </w:r>
            <w:r w:rsidRPr="008A51DA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declaração e mapa de preços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, referente a pesquisa de Preços praticados no Mercado, indicando a cotação mais vantajosa para execução do objeto proposto?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47, §3º, inc. XIII c/c art. 29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eastAsia="Arial" w:hAnsi="Times New Roman" w:cs="Times New Roman"/>
                <w:strike/>
                <w:color w:val="FF0000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A Prestação de Contas contêm elementos que permitam ao </w:t>
            </w:r>
            <w:r w:rsidRPr="008A51D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gestor da parceria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avaliar o andamento ou concluir que o seu objeto foi executado conforme o pactuado? Com a descrição pormenorizada das atividades realizadas e a comprovação do alcance das metas e dos resultados esperados, até o período de trata a prestação de contas?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rt. 64, Lei 13.019/14;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47, caput, do Decreto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Consta relatório de </w:t>
            </w:r>
            <w:r w:rsidRPr="008A51D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visita técnica in loco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, eventualmente, realizada durante a execução da parceria, e </w:t>
            </w:r>
            <w:r w:rsidRPr="008A51D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relatório técnico de monitoramento e avaliação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, homologado pelo</w:t>
            </w:r>
            <w:r w:rsidRPr="008A51D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gestor da parceria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designado, sobre a conformidade do cumprimento do objeto e os resultados alcançados durante a execução do termo?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  <w:r w:rsidR="008A51DA">
              <w:rPr>
                <w:rFonts w:ascii="Times New Roman" w:hAnsi="Times New Roman" w:cs="Times New Roman"/>
                <w:sz w:val="18"/>
                <w:szCs w:val="18"/>
              </w:rPr>
              <w:t>. 59, “caput”, § 1º e art. 66, paragrafo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único, inc. I e II da Lei 13.019/14; 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41 e 39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tabs>
                <w:tab w:val="left" w:pos="363"/>
              </w:tabs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Consta comprovação que a Organização da Sociedade Civil promoveu a divulgação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na internet e em sua sede de todas as parcerias celebradas com a administração pública?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11 da Lei nº 13.019/14 e art. 28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 w:rsidRPr="008A51D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pareceres Técnico e financeiro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de análise da prestação de contas mencionaram, obrigatoriamente, o cumprimento do objeto, os resultados alcançados, seus benefícios, os impactos econômicos ou sociais, o grau de satisfação do público-alvo, a possibilidade de sustentabilidade das ações após a conclusão do objeto pactuado?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67, §§ 1º e 4º e incisos da Lei 13.019/14 e art. 49, inc. I e II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Foi apresentado nos autos irregularidades decorrentes do uso dos recursos ou pendências de ordem técnica, apurados durante a execução da parceria? Se for o caso, existem justificativas e/ou esclarecimentos pertinente sobre os fatos?</w:t>
            </w:r>
            <w:r w:rsidRPr="008A51DA">
              <w:rPr>
                <w:rStyle w:val="ncoradanotaderodap"/>
                <w:rFonts w:ascii="Times New Roman" w:eastAsia="Arial" w:hAnsi="Times New Roman" w:cs="Times New Roman"/>
                <w:sz w:val="18"/>
                <w:szCs w:val="18"/>
              </w:rPr>
              <w:footnoteReference w:id="10"/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(Inc. II, Art. 62 e art. 70, §2º da Lei 13.019/14, art.42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Houve falhas ou omissão dos agentes públicos no acompanhamento e fiscalização da execução da parceria onde o mesmo tenha acompanhado a boa e regular aplicação dos recursos, </w:t>
            </w:r>
            <w:proofErr w:type="gramStart"/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sob pena</w:t>
            </w:r>
            <w:proofErr w:type="gramEnd"/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responsabilidade solidária? (</w:t>
            </w:r>
            <w:r w:rsidR="009B4700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eastAsia="Arial" w:hAnsi="Times New Roman" w:cs="Times New Roman"/>
                <w:sz w:val="18"/>
                <w:szCs w:val="18"/>
              </w:rPr>
              <w:t>rt. 72, § 1º da Lei 13.019/14; art. 39, §§1º, 2º e 3º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A análise</w:t>
            </w:r>
            <w:r w:rsidRPr="008A51DA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60C0" w:rsidRPr="008A51DA">
              <w:rPr>
                <w:rFonts w:ascii="Times New Roman" w:hAnsi="Times New Roman" w:cs="Times New Roman"/>
                <w:sz w:val="18"/>
                <w:szCs w:val="18"/>
              </w:rPr>
              <w:t>da concedente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 xml:space="preserve"> resultou na baixa contábil do convenente? Caso não, foi exaurida todas as providências cabíveis para a regularização das pendências ou reparação do dano?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48, § 1º, inc. I, II e III do Decreto Estadual nº 5.816/18)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CE6" w:rsidRPr="008A51DA" w:rsidTr="009B4700">
        <w:trPr>
          <w:trHeight w:val="450"/>
        </w:trPr>
        <w:tc>
          <w:tcPr>
            <w:tcW w:w="5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690923">
            <w:pPr>
              <w:pStyle w:val="PargrafodaList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  <w:bookmarkStart w:id="7" w:name="__DdeLink__615_2414678600"/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Consta registrado no campo “situação” no Sistema de Acompanhamento de Convênios e Parcerias ou outro que vier a substituí-lo, o resultado da análise do Relatório conclusivo da prestação de contas final da parceria? (</w:t>
            </w:r>
            <w:r w:rsidR="009B470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51DA">
              <w:rPr>
                <w:rFonts w:ascii="Times New Roman" w:hAnsi="Times New Roman" w:cs="Times New Roman"/>
                <w:sz w:val="18"/>
                <w:szCs w:val="18"/>
              </w:rPr>
              <w:t>rt. 48, §§ 2º e 3º do Decreto Estadual nº 5.816/18)</w:t>
            </w:r>
            <w:bookmarkEnd w:id="7"/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E6" w:rsidRPr="008A51DA" w:rsidRDefault="00DC4C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4CE6" w:rsidRPr="008A51DA" w:rsidRDefault="00690923" w:rsidP="00C557E7">
      <w:pPr>
        <w:spacing w:after="0" w:line="360" w:lineRule="auto"/>
        <w:ind w:right="-1"/>
        <w:rPr>
          <w:rFonts w:ascii="Times New Roman" w:hAnsi="Times New Roman" w:cs="Times New Roman"/>
          <w:b/>
          <w:sz w:val="18"/>
          <w:szCs w:val="18"/>
        </w:rPr>
      </w:pPr>
      <w:r w:rsidRPr="008A51DA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Style w:val="Tabelacomgrade"/>
        <w:tblW w:w="5000" w:type="pct"/>
        <w:tblLook w:val="04A0"/>
      </w:tblPr>
      <w:tblGrid>
        <w:gridCol w:w="9287"/>
      </w:tblGrid>
      <w:tr w:rsidR="00DC4CE6" w:rsidRPr="008A51DA" w:rsidTr="00C557E7">
        <w:tc>
          <w:tcPr>
            <w:tcW w:w="9287" w:type="dxa"/>
            <w:shd w:val="clear" w:color="auto" w:fill="auto"/>
          </w:tcPr>
          <w:p w:rsidR="00DC4CE6" w:rsidRPr="008A51DA" w:rsidRDefault="00DC4CE6" w:rsidP="00C557E7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CE6" w:rsidRPr="008A51DA" w:rsidTr="00C557E7">
        <w:tc>
          <w:tcPr>
            <w:tcW w:w="9287" w:type="dxa"/>
            <w:shd w:val="clear" w:color="auto" w:fill="auto"/>
          </w:tcPr>
          <w:p w:rsidR="00DC4CE6" w:rsidRPr="008A51DA" w:rsidRDefault="00DC4CE6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CE6" w:rsidRPr="008A51DA" w:rsidTr="00C557E7">
        <w:tc>
          <w:tcPr>
            <w:tcW w:w="9287" w:type="dxa"/>
            <w:shd w:val="clear" w:color="auto" w:fill="auto"/>
          </w:tcPr>
          <w:p w:rsidR="00DC4CE6" w:rsidRPr="008A51DA" w:rsidRDefault="00DC4CE6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CE6" w:rsidRPr="008A51DA" w:rsidTr="00C557E7">
        <w:tc>
          <w:tcPr>
            <w:tcW w:w="9287" w:type="dxa"/>
            <w:tcBorders>
              <w:top w:val="nil"/>
            </w:tcBorders>
            <w:shd w:val="clear" w:color="auto" w:fill="auto"/>
          </w:tcPr>
          <w:p w:rsidR="00DC4CE6" w:rsidRPr="008A51DA" w:rsidRDefault="00DC4CE6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CE6" w:rsidRPr="008A51DA" w:rsidTr="00C557E7">
        <w:tc>
          <w:tcPr>
            <w:tcW w:w="9287" w:type="dxa"/>
            <w:tcBorders>
              <w:top w:val="nil"/>
            </w:tcBorders>
            <w:shd w:val="clear" w:color="auto" w:fill="auto"/>
          </w:tcPr>
          <w:p w:rsidR="00DC4CE6" w:rsidRPr="008A51DA" w:rsidRDefault="00DC4CE6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CE6" w:rsidRPr="008A51DA" w:rsidTr="00C557E7">
        <w:tc>
          <w:tcPr>
            <w:tcW w:w="9287" w:type="dxa"/>
            <w:tcBorders>
              <w:top w:val="nil"/>
            </w:tcBorders>
            <w:shd w:val="clear" w:color="auto" w:fill="auto"/>
          </w:tcPr>
          <w:p w:rsidR="00DC4CE6" w:rsidRPr="008A51DA" w:rsidRDefault="00DC4CE6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C4CE6" w:rsidRPr="008A51DA" w:rsidRDefault="00DC4CE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DC4CE6" w:rsidRPr="008A51DA" w:rsidRDefault="00DC4CE6" w:rsidP="00BA79C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79CD" w:rsidRPr="008A51DA" w:rsidRDefault="00C557E7" w:rsidP="00C557E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51DA">
        <w:rPr>
          <w:rFonts w:ascii="Times New Roman" w:hAnsi="Times New Roman" w:cs="Times New Roman"/>
          <w:b/>
          <w:sz w:val="18"/>
          <w:szCs w:val="18"/>
        </w:rPr>
        <w:t>Assinatura e Matrícula do Servidor</w:t>
      </w:r>
    </w:p>
    <w:sectPr w:rsidR="00BA79CD" w:rsidRPr="008A51DA" w:rsidSect="00BA79CD">
      <w:headerReference w:type="default" r:id="rId9"/>
      <w:pgSz w:w="11906" w:h="16838"/>
      <w:pgMar w:top="1701" w:right="1134" w:bottom="1134" w:left="1701" w:header="37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9A" w:rsidRDefault="004D249A">
      <w:pPr>
        <w:spacing w:after="0" w:line="240" w:lineRule="auto"/>
      </w:pPr>
      <w:r>
        <w:separator/>
      </w:r>
    </w:p>
  </w:endnote>
  <w:endnote w:type="continuationSeparator" w:id="0">
    <w:p w:rsidR="004D249A" w:rsidRDefault="004D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9A" w:rsidRDefault="004D249A">
      <w:r>
        <w:separator/>
      </w:r>
    </w:p>
  </w:footnote>
  <w:footnote w:type="continuationSeparator" w:id="0">
    <w:p w:rsidR="004D249A" w:rsidRDefault="004D249A">
      <w:r>
        <w:continuationSeparator/>
      </w:r>
    </w:p>
  </w:footnote>
  <w:footnote w:id="1">
    <w:p w:rsidR="00DC4CE6" w:rsidRPr="00431A49" w:rsidRDefault="00690923" w:rsidP="009B4700">
      <w:pPr>
        <w:pStyle w:val="Textodenotaderodap"/>
        <w:tabs>
          <w:tab w:val="left" w:pos="284"/>
        </w:tabs>
        <w:ind w:left="142" w:right="170" w:hanging="142"/>
        <w:jc w:val="both"/>
        <w:rPr>
          <w:rFonts w:ascii="Times New Roman" w:hAnsi="Times New Roman" w:cs="Times New Roman"/>
          <w:sz w:val="14"/>
          <w:szCs w:val="14"/>
        </w:rPr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Fonts w:ascii="Times New Roman" w:hAnsi="Times New Roman" w:cs="Times New Roman"/>
          <w:sz w:val="14"/>
          <w:szCs w:val="14"/>
        </w:rPr>
        <w:t xml:space="preserve"> Se, ao término do prazo estabelecido, a O</w:t>
      </w:r>
      <w:r w:rsidR="00431A49">
        <w:rPr>
          <w:rFonts w:ascii="Times New Roman" w:hAnsi="Times New Roman" w:cs="Times New Roman"/>
          <w:sz w:val="14"/>
          <w:szCs w:val="14"/>
        </w:rPr>
        <w:t>SC</w:t>
      </w:r>
      <w:r w:rsidRPr="00431A49">
        <w:rPr>
          <w:rFonts w:ascii="Times New Roman" w:hAnsi="Times New Roman" w:cs="Times New Roman"/>
          <w:sz w:val="14"/>
          <w:szCs w:val="14"/>
        </w:rPr>
        <w:t xml:space="preserve"> não apresentar a prestação de contas, a Administração Pública Estadual registrará a </w:t>
      </w:r>
      <w:r w:rsidRPr="00431A49">
        <w:rPr>
          <w:rFonts w:ascii="Times New Roman" w:hAnsi="Times New Roman" w:cs="Times New Roman"/>
          <w:b/>
          <w:sz w:val="14"/>
          <w:szCs w:val="14"/>
        </w:rPr>
        <w:t>inadimplência</w:t>
      </w:r>
      <w:r w:rsidRPr="00431A49">
        <w:rPr>
          <w:rFonts w:ascii="Times New Roman" w:hAnsi="Times New Roman" w:cs="Times New Roman"/>
          <w:sz w:val="14"/>
          <w:szCs w:val="14"/>
        </w:rPr>
        <w:t xml:space="preserve"> no Sistema de Acompanhamento de Convênios e Parcerias por omissão do dever de prestar contas, para fins de Instauração de </w:t>
      </w:r>
      <w:r w:rsidRPr="00431A49">
        <w:rPr>
          <w:rFonts w:ascii="Times New Roman" w:hAnsi="Times New Roman" w:cs="Times New Roman"/>
          <w:b/>
          <w:sz w:val="14"/>
          <w:szCs w:val="14"/>
        </w:rPr>
        <w:t>Tomada de Contas especial</w:t>
      </w:r>
      <w:r w:rsidRPr="00431A49">
        <w:rPr>
          <w:rFonts w:ascii="Times New Roman" w:hAnsi="Times New Roman" w:cs="Times New Roman"/>
          <w:sz w:val="14"/>
          <w:szCs w:val="14"/>
        </w:rPr>
        <w:t xml:space="preserve"> sob aquele argumento e adoção de outras medidas para reparação do dano ao erário. Art. 47, § 6º do Decreto Estadual nº 5.816/18</w:t>
      </w:r>
      <w:r w:rsidR="008A51DA" w:rsidRPr="00431A49"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:rsidR="00DC4CE6" w:rsidRDefault="00690923" w:rsidP="009B4700">
      <w:pPr>
        <w:pStyle w:val="Textodenotaderodap"/>
        <w:tabs>
          <w:tab w:val="left" w:pos="426"/>
        </w:tabs>
        <w:jc w:val="both"/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Considera-se exercício cada período de doze meses de duração da parceria, contado da primeira liberação de recursos para sua execução</w:t>
      </w:r>
      <w:r w:rsidR="00431A49">
        <w:rPr>
          <w:rFonts w:ascii="Times New Roman" w:hAnsi="Times New Roman" w:cs="Times New Roman"/>
          <w:color w:val="000000"/>
          <w:sz w:val="14"/>
          <w:szCs w:val="14"/>
        </w:rPr>
        <w:t>.</w:t>
      </w:r>
    </w:p>
  </w:footnote>
  <w:footnote w:id="3">
    <w:p w:rsidR="00DC4CE6" w:rsidRPr="00431A49" w:rsidRDefault="00690923">
      <w:pPr>
        <w:pStyle w:val="Textodenotaderodap"/>
        <w:ind w:right="170"/>
        <w:jc w:val="both"/>
        <w:rPr>
          <w:rFonts w:ascii="Times New Roman" w:hAnsi="Times New Roman" w:cs="Times New Roman"/>
          <w:sz w:val="14"/>
          <w:szCs w:val="14"/>
        </w:rPr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Style w:val="FootnoteCharacters"/>
          <w:rFonts w:ascii="Times New Roman" w:hAnsi="Times New Roman" w:cs="Times New Roman"/>
          <w:sz w:val="14"/>
          <w:szCs w:val="14"/>
        </w:rPr>
        <w:t xml:space="preserve"> </w:t>
      </w:r>
      <w:r w:rsidRPr="00431A49">
        <w:rPr>
          <w:rFonts w:ascii="Times New Roman" w:hAnsi="Times New Roman" w:cs="Times New Roman"/>
          <w:sz w:val="14"/>
          <w:szCs w:val="14"/>
        </w:rPr>
        <w:t xml:space="preserve">O </w:t>
      </w:r>
      <w:r w:rsidRPr="00431A49">
        <w:rPr>
          <w:rFonts w:ascii="Times New Roman" w:hAnsi="Times New Roman" w:cs="Times New Roman"/>
          <w:b/>
          <w:sz w:val="14"/>
          <w:szCs w:val="14"/>
        </w:rPr>
        <w:t>Relatório de Cumprimento do Objeto</w:t>
      </w:r>
      <w:r w:rsidR="008A51DA" w:rsidRPr="00431A49">
        <w:rPr>
          <w:rFonts w:ascii="Times New Roman" w:hAnsi="Times New Roman" w:cs="Times New Roman"/>
          <w:sz w:val="14"/>
          <w:szCs w:val="14"/>
        </w:rPr>
        <w:t xml:space="preserve"> conterá</w:t>
      </w:r>
      <w:r w:rsidRPr="00431A49">
        <w:rPr>
          <w:rFonts w:ascii="Times New Roman" w:hAnsi="Times New Roman" w:cs="Times New Roman"/>
          <w:sz w:val="14"/>
          <w:szCs w:val="14"/>
        </w:rPr>
        <w:t xml:space="preserve"> o demonstrativo do alcance das metas; a descrição das ações desenvolvidas para o cumprimento do objeto; documentos que comprove o cumprimento do objeto, como lista de presença, fotos, vídeos, entre outros. E devendo ainda, fornece elementos para avaliação dos impactos econômicos ou sociais das ações desenvolvidas; do grau de satisfação do público-alvo, 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>que poderá ser indicado por meio de pesquisa de satisfação, declaração de entidade pública ou privada local e declaração do conselho de política pública setorial, entre outros; e da possibilidade de sustentabilidade das ações após a conclusão do objeto.</w:t>
      </w:r>
    </w:p>
  </w:footnote>
  <w:footnote w:id="4">
    <w:p w:rsidR="00DC4CE6" w:rsidRPr="00431A49" w:rsidRDefault="00690923">
      <w:pPr>
        <w:pStyle w:val="Textodenotaderodap"/>
        <w:ind w:right="113"/>
        <w:jc w:val="both"/>
        <w:rPr>
          <w:rFonts w:ascii="Times New Roman" w:hAnsi="Times New Roman" w:cs="Times New Roman"/>
          <w:sz w:val="14"/>
          <w:szCs w:val="14"/>
        </w:rPr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Deve</w:t>
      </w:r>
      <w:r w:rsidR="00C557E7">
        <w:rPr>
          <w:rFonts w:ascii="Times New Roman" w:hAnsi="Times New Roman" w:cs="Times New Roman"/>
          <w:color w:val="000000"/>
          <w:sz w:val="14"/>
          <w:szCs w:val="14"/>
        </w:rPr>
        <w:t>rão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ser </w:t>
      </w:r>
      <w:r w:rsidR="00C557E7" w:rsidRPr="00431A49">
        <w:rPr>
          <w:rFonts w:ascii="Times New Roman" w:hAnsi="Times New Roman" w:cs="Times New Roman"/>
          <w:color w:val="000000"/>
          <w:sz w:val="14"/>
          <w:szCs w:val="14"/>
        </w:rPr>
        <w:t>informados no demonstrativo de execução de receita e despesa os recursos recebidos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em transferência, os rendimentos de aplicação dos recursos no mercado financeiro, quando for o caso e os saldos existentes, de modo que as </w:t>
      </w:r>
      <w:r w:rsidRPr="00431A49">
        <w:rPr>
          <w:rFonts w:ascii="Times New Roman" w:hAnsi="Times New Roman" w:cs="Times New Roman"/>
          <w:b/>
          <w:color w:val="000000"/>
          <w:sz w:val="14"/>
          <w:szCs w:val="14"/>
        </w:rPr>
        <w:t>Receitas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devem estar de acordo com as ordens bancárias liberadas, demonstradas nos extratos bancários. As </w:t>
      </w:r>
      <w:r w:rsidRPr="00431A49">
        <w:rPr>
          <w:rFonts w:ascii="Times New Roman" w:hAnsi="Times New Roman" w:cs="Times New Roman"/>
          <w:b/>
          <w:color w:val="000000"/>
          <w:sz w:val="14"/>
          <w:szCs w:val="14"/>
        </w:rPr>
        <w:t>despesas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devem estar de acordo com a Relação de Pagamentos efetuados.</w:t>
      </w:r>
    </w:p>
  </w:footnote>
  <w:footnote w:id="5">
    <w:p w:rsidR="00DC4CE6" w:rsidRPr="00431A49" w:rsidRDefault="00690923">
      <w:pPr>
        <w:pStyle w:val="Textodenotaderodap"/>
        <w:ind w:right="113"/>
        <w:jc w:val="both"/>
        <w:rPr>
          <w:rFonts w:ascii="Times New Roman" w:hAnsi="Times New Roman" w:cs="Times New Roman"/>
          <w:sz w:val="14"/>
          <w:szCs w:val="14"/>
        </w:rPr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431A49" w:rsidRPr="00431A49">
        <w:rPr>
          <w:rFonts w:ascii="Times New Roman" w:hAnsi="Times New Roman" w:cs="Times New Roman"/>
          <w:color w:val="000000"/>
          <w:sz w:val="14"/>
          <w:szCs w:val="14"/>
        </w:rPr>
        <w:t>Deve</w:t>
      </w:r>
      <w:r w:rsidR="00431A49">
        <w:rPr>
          <w:rFonts w:ascii="Times New Roman" w:hAnsi="Times New Roman" w:cs="Times New Roman"/>
          <w:color w:val="000000"/>
          <w:sz w:val="14"/>
          <w:szCs w:val="14"/>
        </w:rPr>
        <w:t>rão se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 xml:space="preserve">r </w:t>
      </w:r>
      <w:r w:rsidR="00431A49" w:rsidRPr="00431A49">
        <w:rPr>
          <w:rFonts w:ascii="Times New Roman" w:hAnsi="Times New Roman" w:cs="Times New Roman"/>
          <w:color w:val="000000"/>
          <w:sz w:val="14"/>
          <w:szCs w:val="14"/>
        </w:rPr>
        <w:t>evidenciadas as receitas financeiras auferidas na forma de poupança ou em fundo de aplicação financeira de curto prazo ou em operação de mercado aberto</w:t>
      </w:r>
      <w:r w:rsidRPr="00431A49">
        <w:rPr>
          <w:rFonts w:ascii="Times New Roman" w:hAnsi="Times New Roman" w:cs="Times New Roman"/>
          <w:color w:val="000000"/>
          <w:sz w:val="14"/>
          <w:szCs w:val="14"/>
        </w:rPr>
        <w:t>. Art. 51, Parágrafo Único da Lei nº 13.019/14</w:t>
      </w:r>
      <w:r w:rsidR="00431A49">
        <w:rPr>
          <w:rFonts w:ascii="Times New Roman" w:hAnsi="Times New Roman" w:cs="Times New Roman"/>
          <w:color w:val="000000"/>
          <w:sz w:val="14"/>
          <w:szCs w:val="14"/>
        </w:rPr>
        <w:t>.</w:t>
      </w:r>
    </w:p>
  </w:footnote>
  <w:footnote w:id="6">
    <w:p w:rsidR="00DC4CE6" w:rsidRPr="00431A49" w:rsidRDefault="00690923">
      <w:pPr>
        <w:pStyle w:val="Textodenotaderodap"/>
        <w:jc w:val="both"/>
        <w:rPr>
          <w:rFonts w:ascii="Times New Roman" w:hAnsi="Times New Roman" w:cs="Times New Roman"/>
          <w:sz w:val="14"/>
          <w:szCs w:val="14"/>
        </w:rPr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Fonts w:ascii="Times New Roman" w:hAnsi="Times New Roman" w:cs="Times New Roman"/>
          <w:sz w:val="14"/>
          <w:szCs w:val="14"/>
        </w:rPr>
        <w:t xml:space="preserve"> As naturezas das despesas descritas devem estar de acordo com as do Plano de Trabalho e o plano de aplicação aprovado.</w:t>
      </w:r>
    </w:p>
  </w:footnote>
  <w:footnote w:id="7">
    <w:p w:rsidR="00DC4CE6" w:rsidRDefault="00690923">
      <w:pPr>
        <w:pStyle w:val="Textodenotaderodap"/>
        <w:jc w:val="both"/>
      </w:pPr>
      <w:r w:rsidRPr="00431A49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431A49">
        <w:rPr>
          <w:rFonts w:ascii="Times New Roman" w:hAnsi="Times New Roman" w:cs="Times New Roman"/>
          <w:b/>
          <w:color w:val="000000"/>
          <w:sz w:val="14"/>
          <w:szCs w:val="14"/>
          <w:vertAlign w:val="subscript"/>
        </w:rPr>
        <w:t xml:space="preserve">  </w:t>
      </w:r>
      <w:r w:rsidRPr="00431A49">
        <w:rPr>
          <w:rFonts w:ascii="Times New Roman" w:hAnsi="Times New Roman" w:cs="Times New Roman"/>
          <w:sz w:val="14"/>
          <w:szCs w:val="14"/>
        </w:rPr>
        <w:t xml:space="preserve">Os documentos comprobatórios das despesas não serão aceitos com rasuras, ilegíveis ou com prazo de validade vencido. </w:t>
      </w:r>
    </w:p>
  </w:footnote>
  <w:footnote w:id="8">
    <w:p w:rsidR="00DC4CE6" w:rsidRPr="00C557E7" w:rsidRDefault="00690923">
      <w:pPr>
        <w:pStyle w:val="Textodenotaderodap"/>
        <w:jc w:val="both"/>
        <w:rPr>
          <w:rFonts w:ascii="Times New Roman" w:hAnsi="Times New Roman" w:cs="Times New Roman"/>
          <w:sz w:val="14"/>
          <w:szCs w:val="14"/>
        </w:rPr>
      </w:pPr>
      <w:r w:rsidRPr="00C557E7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C557E7">
        <w:rPr>
          <w:rFonts w:ascii="Times New Roman" w:hAnsi="Times New Roman" w:cs="Times New Roman"/>
          <w:sz w:val="14"/>
          <w:szCs w:val="14"/>
        </w:rPr>
        <w:t xml:space="preserve"> Os saldos em conta, inclusive os provenientes das receitas obtidas nas aplicações financeiras realizadas, </w:t>
      </w:r>
      <w:r w:rsidRPr="00C557E7">
        <w:rPr>
          <w:rFonts w:ascii="Times New Roman" w:hAnsi="Times New Roman" w:cs="Times New Roman"/>
          <w:b/>
          <w:sz w:val="14"/>
          <w:szCs w:val="14"/>
        </w:rPr>
        <w:t>não utilizadas</w:t>
      </w:r>
      <w:r w:rsidRPr="00C557E7">
        <w:rPr>
          <w:rFonts w:ascii="Times New Roman" w:hAnsi="Times New Roman" w:cs="Times New Roman"/>
          <w:sz w:val="14"/>
          <w:szCs w:val="14"/>
        </w:rPr>
        <w:t xml:space="preserve"> no objeto pactuado, serão </w:t>
      </w:r>
      <w:r w:rsidRPr="00C557E7">
        <w:rPr>
          <w:rFonts w:ascii="Times New Roman" w:hAnsi="Times New Roman" w:cs="Times New Roman"/>
          <w:b/>
          <w:sz w:val="14"/>
          <w:szCs w:val="14"/>
        </w:rPr>
        <w:t>devolvidos</w:t>
      </w:r>
      <w:r w:rsidRPr="00C557E7">
        <w:rPr>
          <w:rFonts w:ascii="Times New Roman" w:hAnsi="Times New Roman" w:cs="Times New Roman"/>
          <w:sz w:val="14"/>
          <w:szCs w:val="14"/>
        </w:rPr>
        <w:t xml:space="preserve"> no prazo estabelecido para a apresentação da prestação de contas observando a proporcionalidade dos recursos que cabe </w:t>
      </w:r>
      <w:proofErr w:type="gramStart"/>
      <w:r w:rsidRPr="00C557E7">
        <w:rPr>
          <w:rFonts w:ascii="Times New Roman" w:hAnsi="Times New Roman" w:cs="Times New Roman"/>
          <w:sz w:val="14"/>
          <w:szCs w:val="14"/>
        </w:rPr>
        <w:t>ao concedente</w:t>
      </w:r>
      <w:proofErr w:type="gramEnd"/>
      <w:r w:rsidRPr="00C557E7">
        <w:rPr>
          <w:rFonts w:ascii="Times New Roman" w:hAnsi="Times New Roman" w:cs="Times New Roman"/>
          <w:sz w:val="14"/>
          <w:szCs w:val="14"/>
        </w:rPr>
        <w:t xml:space="preserve"> e ao convenente, independentemente da data em que foram aportados pelas partes. Art. 47, §7° do Decreto Estadual nº 5.816/</w:t>
      </w:r>
      <w:proofErr w:type="gramStart"/>
      <w:r w:rsidRPr="00C557E7">
        <w:rPr>
          <w:rFonts w:ascii="Times New Roman" w:hAnsi="Times New Roman" w:cs="Times New Roman"/>
          <w:sz w:val="14"/>
          <w:szCs w:val="14"/>
        </w:rPr>
        <w:t>18</w:t>
      </w:r>
      <w:proofErr w:type="gramEnd"/>
    </w:p>
  </w:footnote>
  <w:footnote w:id="9">
    <w:p w:rsidR="00DC4CE6" w:rsidRPr="00C557E7" w:rsidRDefault="0069092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557E7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C557E7">
        <w:rPr>
          <w:rFonts w:ascii="Times New Roman" w:hAnsi="Times New Roman" w:cs="Times New Roman"/>
          <w:sz w:val="14"/>
          <w:szCs w:val="14"/>
        </w:rPr>
        <w:t xml:space="preserve"> </w:t>
      </w:r>
      <w:r w:rsidR="008A51DA" w:rsidRPr="00C557E7">
        <w:rPr>
          <w:rFonts w:ascii="Times New Roman" w:hAnsi="Times New Roman" w:cs="Times New Roman"/>
          <w:sz w:val="14"/>
          <w:szCs w:val="14"/>
        </w:rPr>
        <w:t>Deverão</w:t>
      </w:r>
      <w:r w:rsidRPr="00C557E7">
        <w:rPr>
          <w:rFonts w:ascii="Times New Roman" w:hAnsi="Times New Roman" w:cs="Times New Roman"/>
          <w:sz w:val="14"/>
          <w:szCs w:val="14"/>
        </w:rPr>
        <w:t xml:space="preserve"> constar informações: a</w:t>
      </w:r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 data de assinatura; identificação do instrumento da parceria; nome do órgão da administração pública responsável; </w:t>
      </w:r>
      <w:bookmarkStart w:id="1" w:name="art11pii"/>
      <w:bookmarkEnd w:id="1"/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o nome da entidade e seu CNPJ; </w:t>
      </w:r>
      <w:bookmarkStart w:id="2" w:name="art11piii"/>
      <w:bookmarkEnd w:id="2"/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descrição do objeto da parceria; </w:t>
      </w:r>
      <w:bookmarkStart w:id="3" w:name="art11piv"/>
      <w:bookmarkStart w:id="4" w:name="art11piv."/>
      <w:bookmarkEnd w:id="3"/>
      <w:bookmarkEnd w:id="4"/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o valor total da parceria e valores liberados, quando for o caso; </w:t>
      </w:r>
      <w:bookmarkStart w:id="5" w:name="art11pv"/>
      <w:bookmarkEnd w:id="5"/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situação da prestação de contas da parceria, que deverá informar a data prevista para a sua apresentação, a data em que foi </w:t>
      </w:r>
      <w:r w:rsidR="008A51DA" w:rsidRPr="00C557E7">
        <w:rPr>
          <w:rFonts w:ascii="Times New Roman" w:hAnsi="Times New Roman" w:cs="Times New Roman"/>
          <w:color w:val="000000"/>
          <w:sz w:val="14"/>
          <w:szCs w:val="14"/>
        </w:rPr>
        <w:t>apresentado, o prazo</w:t>
      </w:r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 para a sua análise e o resultado conclusivo; e</w:t>
      </w:r>
      <w:proofErr w:type="gramStart"/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bookmarkStart w:id="6" w:name="art11pvi"/>
      <w:bookmarkEnd w:id="6"/>
      <w:r w:rsidRPr="00C557E7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proofErr w:type="gramEnd"/>
      <w:r w:rsidRPr="00C557E7">
        <w:rPr>
          <w:rFonts w:ascii="Times New Roman" w:hAnsi="Times New Roman" w:cs="Times New Roman"/>
          <w:color w:val="000000"/>
          <w:sz w:val="14"/>
          <w:szCs w:val="14"/>
        </w:rPr>
        <w:t>quando vinculados à execução do objeto e pagos com recursos da parceria, o valor total da remuneração da equipe de trabalho, as funções que seus integrantes desempenham e a remuneração prevista para o respectivo exercício</w:t>
      </w:r>
    </w:p>
  </w:footnote>
  <w:footnote w:id="10">
    <w:p w:rsidR="00DC4CE6" w:rsidRPr="00C557E7" w:rsidRDefault="0069092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557E7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C557E7">
        <w:rPr>
          <w:rFonts w:ascii="Times New Roman" w:hAnsi="Times New Roman" w:cs="Times New Roman"/>
          <w:sz w:val="14"/>
          <w:szCs w:val="14"/>
        </w:rPr>
        <w:t xml:space="preserve"> A administração Pública Estadual</w:t>
      </w:r>
      <w:proofErr w:type="gramStart"/>
      <w:r w:rsidRPr="00C557E7">
        <w:rPr>
          <w:rFonts w:ascii="Times New Roman" w:hAnsi="Times New Roman" w:cs="Times New Roman"/>
          <w:sz w:val="14"/>
          <w:szCs w:val="14"/>
        </w:rPr>
        <w:t>, dará</w:t>
      </w:r>
      <w:proofErr w:type="gramEnd"/>
      <w:r w:rsidRPr="00C557E7">
        <w:rPr>
          <w:rFonts w:ascii="Times New Roman" w:hAnsi="Times New Roman" w:cs="Times New Roman"/>
          <w:sz w:val="14"/>
          <w:szCs w:val="14"/>
        </w:rPr>
        <w:t xml:space="preserve"> prazo de 30 (trinta) dias, para a </w:t>
      </w:r>
      <w:r w:rsidRPr="00C557E7">
        <w:rPr>
          <w:rFonts w:ascii="Times New Roman" w:hAnsi="Times New Roman" w:cs="Times New Roman"/>
          <w:sz w:val="14"/>
          <w:szCs w:val="14"/>
        </w:rPr>
        <w:t>O</w:t>
      </w:r>
      <w:r w:rsidR="00C557E7">
        <w:rPr>
          <w:rFonts w:ascii="Times New Roman" w:hAnsi="Times New Roman" w:cs="Times New Roman"/>
          <w:sz w:val="14"/>
          <w:szCs w:val="14"/>
        </w:rPr>
        <w:t>SC</w:t>
      </w:r>
      <w:r w:rsidRPr="00C557E7">
        <w:rPr>
          <w:rFonts w:ascii="Times New Roman" w:hAnsi="Times New Roman" w:cs="Times New Roman"/>
          <w:sz w:val="14"/>
          <w:szCs w:val="14"/>
        </w:rPr>
        <w:t xml:space="preserve"> apresentar informações e esclarecimentos dos fatos apurados. Recebido os esclarecimentos e informações solicitadas, a Administração no prazo de 15 dias, apreciará, decidirá e comunicará quanto à aceitação ou não das justificativas apresentadas, e caso as justificativas não sejam acatadas, a Administração concederá prazo de 30 (trinta) dias para a </w:t>
      </w:r>
      <w:r w:rsidR="00C557E7">
        <w:rPr>
          <w:rFonts w:ascii="Times New Roman" w:hAnsi="Times New Roman" w:cs="Times New Roman"/>
          <w:sz w:val="14"/>
          <w:szCs w:val="14"/>
        </w:rPr>
        <w:t>OSC</w:t>
      </w:r>
      <w:r w:rsidRPr="00C557E7">
        <w:rPr>
          <w:rFonts w:ascii="Times New Roman" w:hAnsi="Times New Roman" w:cs="Times New Roman"/>
          <w:sz w:val="14"/>
          <w:szCs w:val="14"/>
        </w:rPr>
        <w:t xml:space="preserve"> regularizar a pendência e, havendo dano ao erário, deverá adotar as medidas necessárias ao respectivo ressarcimento. Transcorrido o prazo para saneamento da irregularidade ou da omissão, não havendo o saneamento, a autoridade administrativa competente, </w:t>
      </w:r>
      <w:proofErr w:type="gramStart"/>
      <w:r w:rsidRPr="00C557E7">
        <w:rPr>
          <w:rFonts w:ascii="Times New Roman" w:hAnsi="Times New Roman" w:cs="Times New Roman"/>
          <w:sz w:val="14"/>
          <w:szCs w:val="14"/>
        </w:rPr>
        <w:t>sob pena</w:t>
      </w:r>
      <w:proofErr w:type="gramEnd"/>
      <w:r w:rsidRPr="00C557E7">
        <w:rPr>
          <w:rFonts w:ascii="Times New Roman" w:hAnsi="Times New Roman" w:cs="Times New Roman"/>
          <w:sz w:val="14"/>
          <w:szCs w:val="14"/>
        </w:rPr>
        <w:t xml:space="preserve"> de responsabilidade solidária, deve adotar as providências para apuração dos fatos, identificação dos responsáveis, quantificação do dano e obtenção do ressarcimento, nos termos da legislação vigente.</w:t>
      </w:r>
    </w:p>
  </w:footnote>
  <w:footnote w:id="11">
    <w:p w:rsidR="00DC4CE6" w:rsidRDefault="00690923">
      <w:pPr>
        <w:pStyle w:val="Textodenotaderodap"/>
        <w:jc w:val="both"/>
      </w:pPr>
      <w:r w:rsidRPr="00C557E7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C557E7">
        <w:rPr>
          <w:rFonts w:ascii="Times New Roman" w:hAnsi="Times New Roman" w:cs="Times New Roman"/>
          <w:b/>
          <w:sz w:val="14"/>
          <w:szCs w:val="14"/>
          <w:vertAlign w:val="superscript"/>
        </w:rPr>
        <w:t xml:space="preserve"> </w:t>
      </w:r>
      <w:r w:rsidRPr="00C557E7">
        <w:rPr>
          <w:rFonts w:ascii="Times New Roman" w:hAnsi="Times New Roman" w:cs="Times New Roman"/>
          <w:sz w:val="14"/>
          <w:szCs w:val="14"/>
        </w:rPr>
        <w:t xml:space="preserve">A análise da Prestação de contas </w:t>
      </w:r>
      <w:r w:rsidR="00DA60C0" w:rsidRPr="00C557E7">
        <w:rPr>
          <w:rFonts w:ascii="Times New Roman" w:hAnsi="Times New Roman" w:cs="Times New Roman"/>
          <w:sz w:val="14"/>
          <w:szCs w:val="14"/>
        </w:rPr>
        <w:t>pela concedente</w:t>
      </w:r>
      <w:r w:rsidRPr="00C557E7">
        <w:rPr>
          <w:rFonts w:ascii="Times New Roman" w:hAnsi="Times New Roman" w:cs="Times New Roman"/>
          <w:sz w:val="14"/>
          <w:szCs w:val="14"/>
        </w:rPr>
        <w:t xml:space="preserve"> resultará: </w:t>
      </w:r>
      <w:r w:rsidRPr="00C557E7">
        <w:rPr>
          <w:rFonts w:ascii="Times New Roman" w:hAnsi="Times New Roman" w:cs="Times New Roman"/>
          <w:sz w:val="14"/>
          <w:szCs w:val="14"/>
          <w:u w:val="single"/>
        </w:rPr>
        <w:t>Aprovada</w:t>
      </w:r>
      <w:r w:rsidRPr="00C557E7">
        <w:rPr>
          <w:rFonts w:ascii="Times New Roman" w:hAnsi="Times New Roman" w:cs="Times New Roman"/>
          <w:sz w:val="14"/>
          <w:szCs w:val="14"/>
        </w:rPr>
        <w:t xml:space="preserve"> – baixa contábil; </w:t>
      </w:r>
      <w:r w:rsidRPr="00C557E7">
        <w:rPr>
          <w:rFonts w:ascii="Times New Roman" w:hAnsi="Times New Roman" w:cs="Times New Roman"/>
          <w:sz w:val="14"/>
          <w:szCs w:val="14"/>
          <w:u w:val="single"/>
        </w:rPr>
        <w:t>Aprovada com Ressalvas</w:t>
      </w:r>
      <w:r w:rsidRPr="00C557E7">
        <w:rPr>
          <w:rFonts w:ascii="Times New Roman" w:hAnsi="Times New Roman" w:cs="Times New Roman"/>
          <w:sz w:val="14"/>
          <w:szCs w:val="14"/>
        </w:rPr>
        <w:t xml:space="preserve"> – evidencia impropriedade ou outra falta de natureza formal de que não resulte dano ao erário, e baixa contábil; e </w:t>
      </w:r>
      <w:r w:rsidRPr="00C557E7">
        <w:rPr>
          <w:rFonts w:ascii="Times New Roman" w:hAnsi="Times New Roman" w:cs="Times New Roman"/>
          <w:sz w:val="14"/>
          <w:szCs w:val="14"/>
          <w:u w:val="single"/>
        </w:rPr>
        <w:t>Rejeitada</w:t>
      </w:r>
      <w:r w:rsidRPr="00C557E7">
        <w:rPr>
          <w:rFonts w:ascii="Times New Roman" w:hAnsi="Times New Roman" w:cs="Times New Roman"/>
          <w:sz w:val="14"/>
          <w:szCs w:val="14"/>
        </w:rPr>
        <w:t xml:space="preserve"> – determina imediata instauração de Tomada de Contas Especial quando resulte dano ao erário.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3" w:type="dxa"/>
      <w:tblInd w:w="-63" w:type="dxa"/>
      <w:tblLook w:val="04A0"/>
    </w:tblPr>
    <w:tblGrid>
      <w:gridCol w:w="5166"/>
      <w:gridCol w:w="4077"/>
    </w:tblGrid>
    <w:tr w:rsidR="00DC4CE6" w:rsidTr="00784229">
      <w:trPr>
        <w:trHeight w:val="1367"/>
      </w:trPr>
      <w:tc>
        <w:tcPr>
          <w:tcW w:w="5166" w:type="dxa"/>
          <w:shd w:val="clear" w:color="auto" w:fill="auto"/>
        </w:tcPr>
        <w:p w:rsidR="00DC4CE6" w:rsidRDefault="00690923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3121152" cy="713232"/>
                <wp:effectExtent l="19050" t="0" r="3048" b="0"/>
                <wp:docPr id="6" name="Imagem 2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6154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7" w:type="dxa"/>
          <w:shd w:val="clear" w:color="auto" w:fill="auto"/>
        </w:tcPr>
        <w:p w:rsidR="00DC4CE6" w:rsidRPr="008A51DA" w:rsidRDefault="00690923" w:rsidP="00DA60C0">
          <w:pPr>
            <w:pStyle w:val="Cabealho"/>
          </w:pPr>
          <w:r w:rsidRPr="008A51DA">
            <w:rPr>
              <w:rFonts w:eastAsia="Times New Roman" w:cs="Arial"/>
              <w:bCs/>
              <w:color w:val="0F243E" w:themeColor="text2" w:themeShade="80"/>
              <w:sz w:val="18"/>
              <w:szCs w:val="18"/>
              <w:lang w:eastAsia="pt-BR"/>
            </w:rPr>
            <w:t>Praça dos Girassóis, Esplanada das Secretarias. S/N</w:t>
          </w:r>
          <w:r w:rsidRPr="008A51DA">
            <w:rPr>
              <w:color w:val="0F243E" w:themeColor="text2" w:themeShade="80"/>
              <w:sz w:val="18"/>
              <w:szCs w:val="18"/>
            </w:rPr>
            <w:t xml:space="preserve"> </w:t>
          </w:r>
        </w:p>
        <w:p w:rsidR="00DC4CE6" w:rsidRPr="008A51DA" w:rsidRDefault="00690923" w:rsidP="00DA60C0">
          <w:pPr>
            <w:pStyle w:val="Cabealho"/>
          </w:pPr>
          <w:r w:rsidRPr="008A51DA">
            <w:rPr>
              <w:color w:val="0F243E" w:themeColor="text2" w:themeShade="80"/>
              <w:sz w:val="18"/>
            </w:rPr>
            <w:t>Av. NS-02, Prédio I, s/nº. Plano Diretor Norte</w:t>
          </w:r>
        </w:p>
        <w:p w:rsidR="00DC4CE6" w:rsidRPr="008A51DA" w:rsidRDefault="00690923" w:rsidP="00DA60C0">
          <w:pPr>
            <w:pStyle w:val="Cabealho"/>
          </w:pPr>
          <w:r w:rsidRPr="008A51DA">
            <w:rPr>
              <w:color w:val="0F243E" w:themeColor="text2" w:themeShade="80"/>
              <w:sz w:val="18"/>
              <w:szCs w:val="18"/>
            </w:rPr>
            <w:t>Palmas – Tocantins – CEP: 77.001-002</w:t>
          </w:r>
        </w:p>
        <w:p w:rsidR="00DC4CE6" w:rsidRDefault="00690923" w:rsidP="00DA60C0">
          <w:pPr>
            <w:pStyle w:val="Cabealho"/>
          </w:pPr>
          <w:proofErr w:type="spellStart"/>
          <w:r w:rsidRPr="008A51DA">
            <w:rPr>
              <w:color w:val="0F243E" w:themeColor="text2" w:themeShade="80"/>
              <w:sz w:val="18"/>
              <w:szCs w:val="18"/>
            </w:rPr>
            <w:t>Tel</w:t>
          </w:r>
          <w:proofErr w:type="spellEnd"/>
          <w:r w:rsidRPr="008A51DA">
            <w:rPr>
              <w:color w:val="0F243E" w:themeColor="text2" w:themeShade="80"/>
              <w:sz w:val="18"/>
              <w:szCs w:val="18"/>
            </w:rPr>
            <w:t>: +55 63 3218-2563</w:t>
          </w:r>
          <w:r w:rsidRPr="008A51DA">
            <w:rPr>
              <w:color w:val="0F243E" w:themeColor="text2" w:themeShade="80"/>
              <w:sz w:val="18"/>
              <w:szCs w:val="18"/>
            </w:rPr>
            <w:br/>
            <w:t>www.cge.to.gov.br</w:t>
          </w:r>
        </w:p>
      </w:tc>
    </w:tr>
  </w:tbl>
  <w:p w:rsidR="00DC4CE6" w:rsidRDefault="00DC4CE6" w:rsidP="00DA6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580"/>
    <w:multiLevelType w:val="multilevel"/>
    <w:tmpl w:val="FC3668D2"/>
    <w:lvl w:ilvl="0">
      <w:start w:val="1"/>
      <w:numFmt w:val="lowerLetter"/>
      <w:lvlText w:val="%1)"/>
      <w:lvlJc w:val="left"/>
      <w:pPr>
        <w:ind w:left="40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0172F2A"/>
    <w:multiLevelType w:val="multilevel"/>
    <w:tmpl w:val="51F831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816BC"/>
    <w:multiLevelType w:val="multilevel"/>
    <w:tmpl w:val="BD723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4CE6"/>
    <w:rsid w:val="00431A49"/>
    <w:rsid w:val="004D249A"/>
    <w:rsid w:val="00690923"/>
    <w:rsid w:val="00784229"/>
    <w:rsid w:val="008A51DA"/>
    <w:rsid w:val="00964415"/>
    <w:rsid w:val="009B4700"/>
    <w:rsid w:val="00BA79CD"/>
    <w:rsid w:val="00C557E7"/>
    <w:rsid w:val="00D43413"/>
    <w:rsid w:val="00D74885"/>
    <w:rsid w:val="00DA60C0"/>
    <w:rsid w:val="00DC4CE6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13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500C7"/>
  </w:style>
  <w:style w:type="character" w:customStyle="1" w:styleId="RodapChar">
    <w:name w:val="Rodapé Char"/>
    <w:basedOn w:val="Fontepargpadro"/>
    <w:link w:val="Rodap"/>
    <w:uiPriority w:val="99"/>
    <w:qFormat/>
    <w:rsid w:val="00F500C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751B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rsid w:val="00872E13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E4E65"/>
    <w:rPr>
      <w:sz w:val="20"/>
      <w:szCs w:val="20"/>
    </w:rPr>
  </w:style>
  <w:style w:type="character" w:customStyle="1" w:styleId="ncoradanotaderodap">
    <w:name w:val="Âncora da nota de rodapé"/>
    <w:rsid w:val="00D4341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8E4E65"/>
    <w:rPr>
      <w:vertAlign w:val="superscript"/>
    </w:rPr>
  </w:style>
  <w:style w:type="character" w:customStyle="1" w:styleId="Caracteresdenotaderodap">
    <w:name w:val="Caracteres de nota de rodapé"/>
    <w:qFormat/>
    <w:rsid w:val="00D43413"/>
  </w:style>
  <w:style w:type="character" w:customStyle="1" w:styleId="ncoradanotadefim">
    <w:name w:val="Âncora da nota de fim"/>
    <w:rsid w:val="00D43413"/>
    <w:rPr>
      <w:vertAlign w:val="superscript"/>
    </w:rPr>
  </w:style>
  <w:style w:type="character" w:customStyle="1" w:styleId="Caracteresdenotadefim">
    <w:name w:val="Caracteres de nota de fim"/>
    <w:qFormat/>
    <w:rsid w:val="00D43413"/>
  </w:style>
  <w:style w:type="paragraph" w:styleId="Ttulo">
    <w:name w:val="Title"/>
    <w:basedOn w:val="Normal"/>
    <w:next w:val="Corpodetexto"/>
    <w:qFormat/>
    <w:rsid w:val="00D4341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D43413"/>
    <w:pPr>
      <w:spacing w:after="140"/>
    </w:pPr>
  </w:style>
  <w:style w:type="paragraph" w:styleId="Lista">
    <w:name w:val="List"/>
    <w:basedOn w:val="Corpodetexto"/>
    <w:rsid w:val="00D43413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D43413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D43413"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rsid w:val="00D43413"/>
  </w:style>
  <w:style w:type="paragraph" w:styleId="Cabealho">
    <w:name w:val="header"/>
    <w:basedOn w:val="Normal"/>
    <w:link w:val="CabealhoChar"/>
    <w:uiPriority w:val="99"/>
    <w:unhideWhenUsed/>
    <w:rsid w:val="00F500C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500C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751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27C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4E65"/>
    <w:pPr>
      <w:spacing w:after="0" w:line="240" w:lineRule="auto"/>
    </w:pPr>
    <w:rPr>
      <w:sz w:val="20"/>
      <w:szCs w:val="20"/>
    </w:rPr>
  </w:style>
  <w:style w:type="paragraph" w:customStyle="1" w:styleId="padro">
    <w:name w:val="padro"/>
    <w:basedOn w:val="Normal"/>
    <w:qFormat/>
    <w:rsid w:val="00B74CC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A5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.cge.to.gov.br/convenios/apl_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6E15-A581-4BF3-98B2-8AF15A0B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4</Pages>
  <Words>1618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AKELINE FREITAS NEVES</dc:creator>
  <cp:lastModifiedBy>Adelvy</cp:lastModifiedBy>
  <cp:revision>41</cp:revision>
  <cp:lastPrinted>2019-09-16T13:30:00Z</cp:lastPrinted>
  <dcterms:created xsi:type="dcterms:W3CDTF">2017-06-01T20:38:00Z</dcterms:created>
  <dcterms:modified xsi:type="dcterms:W3CDTF">2020-04-02T15:56:00Z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