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67" w:rsidRPr="00490E00" w:rsidRDefault="00997513">
      <w:pPr>
        <w:tabs>
          <w:tab w:val="center" w:pos="4419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90E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490E00" w:rsidRPr="00490E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CHECK</w:t>
      </w:r>
      <w:r w:rsidRPr="00490E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LIST</w:t>
      </w:r>
    </w:p>
    <w:p w:rsidR="00892567" w:rsidRPr="00490E00" w:rsidRDefault="00892567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3599" w:rsidRDefault="0099751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490E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Prestação de Contas de </w:t>
      </w:r>
    </w:p>
    <w:p w:rsidR="00892567" w:rsidRPr="00490E00" w:rsidRDefault="0099751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490E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Convênio concedido a Município</w:t>
      </w:r>
    </w:p>
    <w:p w:rsidR="00892567" w:rsidRDefault="00892567">
      <w:pPr>
        <w:spacing w:after="0"/>
        <w:ind w:right="-1"/>
        <w:jc w:val="both"/>
        <w:rPr>
          <w:rFonts w:eastAsia="Times New Roman" w:cs="Arial"/>
          <w:sz w:val="18"/>
          <w:szCs w:val="18"/>
          <w:lang w:eastAsia="pt-BR"/>
        </w:rPr>
      </w:pP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Concedente: _________________________________________________________________________________________</w:t>
      </w: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Convenente: _________________________________________________________________________________________</w:t>
      </w: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Número do Convênio: _____________________________________ Processo nº: _________________________________</w:t>
      </w: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Data da Concessão: ________________________________ Data da Prestação de Contas: ___________________________</w:t>
      </w:r>
    </w:p>
    <w:p w:rsidR="00892567" w:rsidRPr="00490E00" w:rsidRDefault="00997513">
      <w:pPr>
        <w:spacing w:beforeAutospacing="1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0E00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Prestação de Contas Financeira</w:t>
      </w:r>
      <w:r w:rsidRPr="00490E00">
        <w:rPr>
          <w:rFonts w:ascii="Times New Roman" w:hAnsi="Times New Roman" w:cs="Times New Roman"/>
          <w:color w:val="000000"/>
          <w:sz w:val="18"/>
          <w:szCs w:val="18"/>
        </w:rPr>
        <w:t xml:space="preserve">: procedimento de acompanhamento sistemático da conformidade financeira, </w:t>
      </w:r>
      <w:proofErr w:type="gramStart"/>
      <w:r w:rsidRPr="00490E00">
        <w:rPr>
          <w:rFonts w:ascii="Times New Roman" w:hAnsi="Times New Roman" w:cs="Times New Roman"/>
          <w:color w:val="000000"/>
          <w:sz w:val="18"/>
          <w:szCs w:val="18"/>
        </w:rPr>
        <w:t>considerando</w:t>
      </w:r>
      <w:proofErr w:type="gramEnd"/>
      <w:r w:rsidRPr="00490E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490E00">
        <w:rPr>
          <w:rFonts w:ascii="Times New Roman" w:hAnsi="Times New Roman" w:cs="Times New Roman"/>
          <w:color w:val="000000"/>
          <w:sz w:val="18"/>
          <w:szCs w:val="18"/>
        </w:rPr>
        <w:t>o</w:t>
      </w:r>
      <w:proofErr w:type="gramEnd"/>
      <w:r w:rsidRPr="00490E00">
        <w:rPr>
          <w:rFonts w:ascii="Times New Roman" w:hAnsi="Times New Roman" w:cs="Times New Roman"/>
          <w:color w:val="000000"/>
          <w:sz w:val="18"/>
          <w:szCs w:val="18"/>
        </w:rPr>
        <w:t xml:space="preserve"> início e o fim da vigência dos convênios previstos no Decreto Federal nº 6.170/07, Portaria Interministerial 424/16 e o Decreto Estadual nº 5.815/18.</w:t>
      </w:r>
    </w:p>
    <w:p w:rsidR="00892567" w:rsidRPr="00490E00" w:rsidRDefault="00997513" w:rsidP="00343B3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0E00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Prestação de Contas Técnica</w:t>
      </w:r>
      <w:r w:rsidRPr="00490E00">
        <w:rPr>
          <w:rFonts w:ascii="Times New Roman" w:hAnsi="Times New Roman" w:cs="Times New Roman"/>
          <w:color w:val="000000"/>
          <w:sz w:val="18"/>
          <w:szCs w:val="18"/>
        </w:rPr>
        <w:t>: procedimento de análise dos elementos que comprovam, sob os aspectos técnicos, a execução integral do objeto e o alcance dos resultados previstos nos convênios previstos no Decreto Federal nº 6.170/07, Portaria Interministerial 424/16 e o Decreto Estadual nº 5.815/18.</w:t>
      </w:r>
    </w:p>
    <w:p w:rsidR="00892567" w:rsidRPr="00490E00" w:rsidRDefault="00997513">
      <w:pPr>
        <w:spacing w:after="0"/>
        <w:ind w:right="-1"/>
        <w:rPr>
          <w:rFonts w:ascii="Times New Roman" w:eastAsia="Arial" w:hAnsi="Times New Roman" w:cs="Times New Roman"/>
          <w:b/>
          <w:sz w:val="18"/>
          <w:szCs w:val="18"/>
        </w:rPr>
      </w:pPr>
      <w:r w:rsidRPr="00490E00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47"/>
        <w:gridCol w:w="1631"/>
        <w:gridCol w:w="702"/>
        <w:gridCol w:w="834"/>
      </w:tblGrid>
      <w:tr w:rsidR="00892567" w:rsidRPr="00490E00" w:rsidTr="00804D15"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left="5" w:right="1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 para Formalização de Procedimentos para Prestação de Contas de Convênio com município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left="-146" w:right="-3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8138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Os documentos da prestação de contas foram preferencialmente, por meio eletrônico nos moldes do processo de formalização do convênio – PAE, juntamente registrada no Sistema de Acompanhamento de Convênios e parcerias, no </w:t>
            </w:r>
            <w:r w:rsidR="008138BB"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endereço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8138BB" w:rsidRPr="008138BB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z w:val="18"/>
                  <w:szCs w:val="18"/>
                </w:rPr>
                <w:t>http://www.gestao.cge.to.gov.br/convenios/apl_Login/</w:t>
              </w:r>
            </w:hyperlink>
            <w:r w:rsidR="008138BB">
              <w:t>?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>rt. 39, paragrafo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único, art. 41, § 7º e art. 47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ofício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encaminhando a Prestação de Contas ao Órgão Concedente?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rt. 2º, § 1º da IN TCE/TO nº 04/2004; 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rt. 40, §3º, inc. I do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Decreto Estadual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pt-BR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A prestação de Contas final foi apresentada no prazo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estabelecido, respeitando o prazo de até 30 (trinta) dias após o encerramento da vigência ou a conclusão da execução do objeto, o que ocorrer primeiro, e poderá ser prorrogado por igual período, com a devida justificativa? (</w:t>
            </w:r>
            <w:r w:rsidR="00C93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rt. 40, § 5º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do Decreto Estadual nº 5.815/18; art. 59, inc. III da PI nº 424/16)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No caso de repasse em 3(três) ou mais parcelas financeiras, o convenente apresentou a prestação de contas parcial da</w:t>
            </w:r>
            <w:r w:rsidR="008138BB">
              <w:rPr>
                <w:rFonts w:ascii="Times New Roman" w:hAnsi="Times New Roman" w:cs="Times New Roman"/>
                <w:sz w:val="18"/>
                <w:szCs w:val="18"/>
              </w:rPr>
              <w:t xml:space="preserve"> 1º parcela, conforme art. 18, paragrafo 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único da IN TCE/TO nº 004/04? E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em caso de descumprimento, foi oficializado, fixando prazo para o cumprimento da obrigação?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20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de Cumprimento do Objeto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o qual deverá conter a descrição pormenorizada das 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atividades ou projetos desenvolvidos para o cumprimento do objeto e o comparativo de metas propostas com os resultados alcançados,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dando subsídios necessários para avaliação e manifestação do gestor quanto à efetiva conclusão do objeto pactuado?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II do Decreto Estadual nº 5.815/18; art. 4º, inc. II da IN TCE/TO nº 004/04)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Em caso de ter havido contrapartida financeira pactuada no Plano de Trabalho, foi comprovado o cumprimento da mesma?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rt. 7º e § 1º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Decreto Federal nº 6.170/07; art. 9º, §4º do Decreto Estadual nº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o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Demonstrativo de Execução da Receita e Despesa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  <w:u w:val="single"/>
              </w:rPr>
              <w:footnoteReference w:id="2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evidenciando de forma consolidada os recursos recebidos em transferência, a contrapartida, os rendimentos de aplicação dos recursos no mercado financeiro, quando for o caso e os saldos – ANEXO IV, de forma consolidada, por parcelas, na conformidade do inciso V, art. 4º, IN/TCE-TO nº 004/2004?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Consta a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Relação de pagamentos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  <w:u w:val="single"/>
              </w:rPr>
              <w:footnoteReference w:id="3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, conforme origem dos recursos utilizados, em cada parcela liberada? (</w:t>
            </w:r>
            <w:r w:rsidR="00C93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IV do Decreto Estadual nº 5.815/18; art. 4º, inc. XI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Foram a presentados documentos comprobatórios das despesas em ordem cronológica, segundo o desembolso contendo as descrições detalhadas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4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bens/serviços adquiridos?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rt. 40, §2º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do Decreto Estadual nº 5.815/18;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art. 4º, inc. XI-C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Constam para todas as despesas realizadas dentro da vigência da celebração, comprovantes fiscais ou recibos, com data, valor, nome e número do CNPJ da entidade, CNPJ/CPF do fornecedor/prestador de serviço, descrição detalhada dos bens/serviços adquiridos, número do Convênio?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§1º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conciliação bancária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acompanhada dos extrato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conta bancária e dos rendimentos, evidenciando desde o primeiro recebimento até a última movimentação financeira?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V do Decreto Estadual nº 5.815/18; art. 4º, inc. VII, VIII e IX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demonstrativo específico evidenciando as receitas financeiras auferidas na forma de poupança ou em fundo de aplicação financeira de curto prazo, 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e comprovação de que os mesmos foram aplicados no objeto do convênio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116, §§ 4º e 5º da Lei nº 8.666/93; 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29, § 1º inc. I e II, Decreto Estadual nº 5.815/18)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Relatório de Execução Físico Financeiro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está apresentado com a descrição das despesas e receitas efetivamente realizadas e sua vinculação com a execução do objeto?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VI do Decreto Estadual nº 5.815/18; art. 4º, inc. IV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Cópia das notas de empenhos e ordens de pagamento e demais documentos que comprovem a aplicação do recurso, de acordo com o inciso XI-B, art. 4º, IN/TCE-TO nº 004/2004?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12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Tratando-se de execução de obras e ou serviços de engenharia, recuperação, reforma ampliação, conservação e construção foram apresentados os seguintes documento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: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5º da IN TCE/TO nº 004/04)</w:t>
            </w: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comprovação do exercício pleno da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propriedade do imóvel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mediante certidão de registro no cartório de imóvel, quando o termo pactuado tiver por objeto a execução de obras, ou benfeitorias no mesmo, art. 4º, inciso XIX da IN/TCE 004/2004?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dos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projetos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memorial descritivo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cronograma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planilha orçamentária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dos recursos se destinarem a obras ou serviços de engenharia, com documentação ilustrativa, quando for o caso;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20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termo de aceitação definitiva da obra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quando o instrumento objetivar a execução de obra ou serviço de engenharia?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comprovação da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qualificação técnica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executores da obra, com o registro ou inscrição na entidade profissional competente?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Prova de que a empresa executora possui no seu quadro permanente, profissionais qualificados para a execução ou manutenção das ações?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Justificativa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ocorrer a construção de obra, ou parte dela, diferente do modelo aprovado?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A relação de contemplados quando for o caso de construção de unidades habitacionais construídas, com os respectivos endereços?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AF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B16AF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Apresentou </w:t>
            </w:r>
            <w:r w:rsidRPr="00BB16AF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Ordem de serviços</w:t>
            </w:r>
            <w:r w:rsidRPr="00BB16A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caracterizou o início dos trabalhos e </w:t>
            </w:r>
            <w:r w:rsidRPr="00BB16AF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boletim de medição</w:t>
            </w:r>
            <w:r w:rsidRPr="00BB16A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contendo todos os serviços realizados? (Art. 40, §3º, inc. VII e VIII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Apresentou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Fotográfico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,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discriminando os detalhes dos serviços e/ou aquisições realizados?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IX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B54C0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Relação de Bens permanentes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adquiridos, construídos ou produzidos, com a devida comprovação da incorporação ao órgão executor ou de outro organismo, quando for o caso?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XI do Decreto Estadual nº 5.815/18; art. 4º, inc. VI da IN TCE/TO nº 04/04</w:t>
            </w:r>
            <w:proofErr w:type="gramStart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B54C0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Comprovante de depósito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eventual devolução dos saldos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5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recursos não utilizados, em conta bancária especifica indicada no termo do Convênio?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XII do Decreto Estadual nº 5.815/18; art. 61, inc. III da PI nº 424/16; art. 4º, inc. X da IN TCE/TO nº 04/04</w:t>
            </w:r>
            <w:proofErr w:type="gramStart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anexada aos autos Pesquisa de Preço praticados no Mercado, comprovando que o objeto contratado e/ou adquirido fora o mais vantajoso?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116 da Lei nº 8.666/93; art. 11 do Decreto Federal nº 6.170/07)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Cópias da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adjudicação e da homologação das licitações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6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realizadas ou do ato formal de dispensa ou inexigibilidade, acompanhado da prova de sua publicidade, se for o caso, com o respectivo embasamento legal?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XIII do Decreto Estadual nº 5.815/18; art. 4º, inc. XI-A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A Convenente promoveu a divulgação na internet de todos os atos necessários à transparência na sua sede o convênio celebrado com a administração pública?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4º, inc. VII do Decreto Estadual nº 5.815/18) (juntar aos autos cópia do sítio, identificando o acesso às informações referente ao convênio)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Os saldos financeiros remanescentes, inclusive os decorrentes de aplicações, foram devolvidos à Administração Pública no prazo improrrogável de 30 (trinta) dias? Caso não tenha sido, foi instaurada a Tomada de Contas do responsável, providenciada pela autoridade competente da Administração Pública?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116, §6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º da Lei nº 8.666/93; 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>rt. 36, paragrafo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único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Em caso do Convenente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não ter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prestado contas,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comprovado o recolhimento do débito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ou caso constate irregularidades na sua aplicação, 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gestor do </w:t>
            </w:r>
            <w:proofErr w:type="gramStart"/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órgão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Concedente</w:t>
            </w:r>
            <w:proofErr w:type="gramEnd"/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tomou as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providências cabíveis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que constam no art. 8º,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IN/TCE-TO nº 004/2004?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44, § 1º, inc. I e 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de acompanhamento e fiscalização da execução do convênio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que comprovem a atuação do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fiscal do convênio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onde o mesmo tenha acompanhado a boa e regular aplicação dos recursos, o qual informará todas as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ocorrências relacionadas 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consecução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 objeto e o cumprimento das metas do Plano de Trabalho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tal qual instrui art. 67 da Lei nº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8.666/93; </w:t>
            </w:r>
            <w:proofErr w:type="spellStart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. 32, 33, 34 e 35 do Decreto estadual nº 5.815/18?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40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Existe parecer emitido pela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unidade técnica da entidade concedente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do convênio, nos termos do §1º do art. 2º e art. 4º, inc. </w:t>
            </w:r>
            <w:bookmarkStart w:id="0" w:name="_GoBack"/>
            <w:bookmarkEnd w:id="0"/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XVII, da IN/TCE Nº 004/2004? (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rt. 42, inc. I e 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40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Os ajustes realizados durante a execução do objeto integrarão o Plano de Trabalho, desde que submetidos e aprovados previamente pela autoridade competente? (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rt. 20, § 3º da PI nº 424/16; art. 7º, § único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Constam nos autos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irregularidades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decorrentes do uso dos recursos ou pendências de ordem técnica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7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? Se for o caso, existem justificativas e/ou apresentação de informações e esclarecimentos sobre os fatos apurados?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35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manifestação da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análise da Prestação de contas fina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 </w:t>
            </w:r>
            <w:r w:rsidR="00415106"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pela concedente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dentro do prazo de 60 (sessenta) dias, prorrogável por igual período, desde que devidamente justificado?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41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6" w:right="1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</w:rPr>
              <w:t>relatório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emitido pelo dirigente da unidade repassadora e certificado do órgão de controle interno, contendo informações sobre as irregularidades ou ilegalidades eventualmente constatadas e as medidas adotadas para corrigi-las, conforme art. 4º, inc. XVIII, da IN/TCE Nº 004/2004?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Consta o encaminhamento a Assembleia Legislativa e ao TCE da relação de Convênios, independentemente do valor, mensalmente, no prazo máximo de 10 (dez) dias após o início do mês subsequente? (</w:t>
            </w:r>
            <w:proofErr w:type="spellStart"/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rts</w:t>
            </w:r>
            <w:proofErr w:type="spellEnd"/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. 6º e 7º, IN/TCE-TO nº 004/2004; art.43 do Decreto Estadual nº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A análise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106" w:rsidRPr="00490E00">
              <w:rPr>
                <w:rFonts w:ascii="Times New Roman" w:hAnsi="Times New Roman" w:cs="Times New Roman"/>
                <w:sz w:val="18"/>
                <w:szCs w:val="18"/>
              </w:rPr>
              <w:t>da concedente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resultou na baixa contábil do convenente? Caso não, foi exauridas todas as providências cabíveis para a regularização das pendencias ou reparação do dano? (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rt. 41, § 1º, inc. I, II e III do Decreto Estadual nº 5.815/18)</w:t>
            </w:r>
            <w:r w:rsidRPr="00490E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AF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AF">
              <w:rPr>
                <w:rFonts w:ascii="Times New Roman" w:hAnsi="Times New Roman" w:cs="Times New Roman"/>
                <w:sz w:val="18"/>
                <w:szCs w:val="18"/>
              </w:rPr>
              <w:t>Consta registrado no campo “situação” no Sistema de Acompanhamento de Convênios e Parcerias ou outro que vier a substituí-lo, o resultado da análise do Relatório conclusivo da prestação de contas final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convênio</w:t>
            </w:r>
            <w:r w:rsidRPr="00BB16AF">
              <w:rPr>
                <w:rFonts w:ascii="Times New Roman" w:hAnsi="Times New Roman" w:cs="Times New Roman"/>
                <w:sz w:val="18"/>
                <w:szCs w:val="18"/>
              </w:rPr>
              <w:t>? (Art. 41, §§ 2º e 3º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B3F" w:rsidRPr="00490E00" w:rsidRDefault="00343B3F">
      <w:pPr>
        <w:spacing w:line="36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892567" w:rsidRPr="00490E00" w:rsidRDefault="00997513" w:rsidP="00343B3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90E00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Style w:val="Tabelacomgrade"/>
        <w:tblW w:w="9214" w:type="dxa"/>
        <w:tblInd w:w="108" w:type="dxa"/>
        <w:tblLook w:val="04A0"/>
      </w:tblPr>
      <w:tblGrid>
        <w:gridCol w:w="9214"/>
      </w:tblGrid>
      <w:tr w:rsidR="00892567" w:rsidRPr="00490E00" w:rsidTr="00804D15">
        <w:tc>
          <w:tcPr>
            <w:tcW w:w="9214" w:type="dxa"/>
            <w:shd w:val="clear" w:color="auto" w:fill="auto"/>
          </w:tcPr>
          <w:p w:rsidR="00892567" w:rsidRPr="00490E00" w:rsidRDefault="0089256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67" w:rsidRPr="00490E00" w:rsidTr="00804D15">
        <w:tc>
          <w:tcPr>
            <w:tcW w:w="9214" w:type="dxa"/>
            <w:shd w:val="clear" w:color="auto" w:fill="auto"/>
          </w:tcPr>
          <w:p w:rsidR="00892567" w:rsidRPr="00490E00" w:rsidRDefault="0089256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67" w:rsidRPr="00490E00" w:rsidTr="00804D15">
        <w:tc>
          <w:tcPr>
            <w:tcW w:w="9214" w:type="dxa"/>
            <w:shd w:val="clear" w:color="auto" w:fill="auto"/>
          </w:tcPr>
          <w:p w:rsidR="00892567" w:rsidRPr="00490E00" w:rsidRDefault="0089256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2567" w:rsidRDefault="00892567">
      <w:pPr>
        <w:spacing w:after="0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04D15" w:rsidRPr="00490E00" w:rsidRDefault="00804D15" w:rsidP="00804D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90E00"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sectPr w:rsidR="00804D15" w:rsidRPr="00490E00" w:rsidSect="00490E00">
      <w:headerReference w:type="default" r:id="rId9"/>
      <w:pgSz w:w="11906" w:h="16838"/>
      <w:pgMar w:top="1701" w:right="1134" w:bottom="1134" w:left="1701" w:header="37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91" w:rsidRDefault="00576191">
      <w:pPr>
        <w:spacing w:after="0" w:line="240" w:lineRule="auto"/>
      </w:pPr>
      <w:r>
        <w:separator/>
      </w:r>
    </w:p>
  </w:endnote>
  <w:endnote w:type="continuationSeparator" w:id="0">
    <w:p w:rsidR="00576191" w:rsidRDefault="0057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91" w:rsidRDefault="00576191">
      <w:r>
        <w:separator/>
      </w:r>
    </w:p>
  </w:footnote>
  <w:footnote w:type="continuationSeparator" w:id="0">
    <w:p w:rsidR="00576191" w:rsidRDefault="00576191">
      <w:r>
        <w:continuationSeparator/>
      </w:r>
    </w:p>
  </w:footnote>
  <w:footnote w:id="1">
    <w:p w:rsidR="00892567" w:rsidRPr="00804D15" w:rsidRDefault="00997513" w:rsidP="00C93599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</w:r>
      <w:r w:rsidRPr="00804D15">
        <w:rPr>
          <w:rFonts w:ascii="Times New Roman" w:hAnsi="Times New Roman" w:cs="Times New Roman"/>
          <w:sz w:val="14"/>
          <w:szCs w:val="14"/>
          <w:vertAlign w:val="superscript"/>
        </w:rPr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 xml:space="preserve">Se, ao término do prazo estabelecido o convenente não apresentar a prestação de contas o concedente registrará a </w:t>
      </w:r>
      <w:r w:rsidRPr="00804D15">
        <w:rPr>
          <w:rFonts w:ascii="Times New Roman" w:hAnsi="Times New Roman" w:cs="Times New Roman"/>
          <w:b/>
          <w:sz w:val="14"/>
          <w:szCs w:val="14"/>
        </w:rPr>
        <w:t>inadimplência</w:t>
      </w:r>
      <w:r w:rsidRPr="00804D15">
        <w:rPr>
          <w:rFonts w:ascii="Times New Roman" w:hAnsi="Times New Roman" w:cs="Times New Roman"/>
          <w:sz w:val="14"/>
          <w:szCs w:val="14"/>
        </w:rPr>
        <w:t xml:space="preserve"> no Sistema de Acompanhamento de Convênios e </w:t>
      </w:r>
      <w:r w:rsidR="00C93599" w:rsidRPr="00804D15">
        <w:rPr>
          <w:rFonts w:ascii="Times New Roman" w:hAnsi="Times New Roman" w:cs="Times New Roman"/>
          <w:sz w:val="14"/>
          <w:szCs w:val="14"/>
        </w:rPr>
        <w:t>P</w:t>
      </w:r>
      <w:r w:rsidRPr="00804D15">
        <w:rPr>
          <w:rFonts w:ascii="Times New Roman" w:hAnsi="Times New Roman" w:cs="Times New Roman"/>
          <w:sz w:val="14"/>
          <w:szCs w:val="14"/>
        </w:rPr>
        <w:t xml:space="preserve">arcerias por omissão do dever de prestar contas, para fins de Instauração de </w:t>
      </w:r>
      <w:r w:rsidRPr="00804D15">
        <w:rPr>
          <w:rFonts w:ascii="Times New Roman" w:hAnsi="Times New Roman" w:cs="Times New Roman"/>
          <w:b/>
          <w:sz w:val="14"/>
          <w:szCs w:val="14"/>
        </w:rPr>
        <w:t>Tomada de Contas especial</w:t>
      </w:r>
      <w:r w:rsidRPr="00804D15">
        <w:rPr>
          <w:rFonts w:ascii="Times New Roman" w:hAnsi="Times New Roman" w:cs="Times New Roman"/>
          <w:sz w:val="14"/>
          <w:szCs w:val="14"/>
        </w:rPr>
        <w:t xml:space="preserve"> sob aquele argumento e adoção de outras medidas para reparação do dano ao erário. Art. 40, § 6º do Decreto Estadual nº 5.815/18.</w:t>
      </w:r>
    </w:p>
  </w:footnote>
  <w:footnote w:id="2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 xml:space="preserve">As </w:t>
      </w:r>
      <w:r w:rsidRPr="00804D15">
        <w:rPr>
          <w:rFonts w:ascii="Times New Roman" w:hAnsi="Times New Roman" w:cs="Times New Roman"/>
          <w:b/>
          <w:sz w:val="14"/>
          <w:szCs w:val="14"/>
        </w:rPr>
        <w:t>Receitas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devem estar de acordo com as ordens bancárias liberadas, com a contrapartida (quando houver) utilizada e com as aplicações financeiras, demonstradas nos extratos bancários. As </w:t>
      </w:r>
      <w:r w:rsidRPr="00804D15">
        <w:rPr>
          <w:rFonts w:ascii="Times New Roman" w:hAnsi="Times New Roman" w:cs="Times New Roman"/>
          <w:b/>
          <w:sz w:val="14"/>
          <w:szCs w:val="14"/>
        </w:rPr>
        <w:t>despesas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devem estar de acordo com 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a Relação de Pagamento efetuados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>As naturezas das despesas descritas devem estar de acordo com as do Plano de Trabalho e o plano de aplicação aprovado.</w:t>
      </w:r>
    </w:p>
  </w:footnote>
  <w:footnote w:id="4">
    <w:p w:rsidR="00892567" w:rsidRDefault="00997513" w:rsidP="00804D15">
      <w:pPr>
        <w:pStyle w:val="Textodenotaderodap"/>
        <w:tabs>
          <w:tab w:val="left" w:pos="284"/>
        </w:tabs>
        <w:jc w:val="both"/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color w:val="000000"/>
          <w:sz w:val="14"/>
          <w:szCs w:val="14"/>
          <w:vertAlign w:val="sub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>Os documentos comprobatórios das despesas não serão aceitos com rasuras, ilegíveis ou com prazo de validade vencido. As notas fiscais devidamente identificadas com o número do convênio, quitadas e atestadas com carimbo contendo nome e matricula do atestador; e recibos com dados completos sobre o emitente.</w:t>
      </w:r>
    </w:p>
  </w:footnote>
  <w:footnote w:id="5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Style w:val="FootnoteCharacters"/>
          <w:rFonts w:ascii="Times New Roman" w:hAnsi="Times New Roman" w:cs="Times New Roman"/>
          <w:b/>
          <w:sz w:val="14"/>
          <w:szCs w:val="14"/>
        </w:rPr>
        <w:tab/>
      </w:r>
      <w:r w:rsidRPr="00804D15">
        <w:rPr>
          <w:rFonts w:ascii="Times New Roman" w:hAnsi="Times New Roman" w:cs="Times New Roman"/>
          <w:sz w:val="14"/>
          <w:szCs w:val="14"/>
        </w:rPr>
        <w:t xml:space="preserve"> Os saldos em conta, inclusive os provenientes das receitas obtidas nas aplicações financeiras realizadas, </w:t>
      </w:r>
      <w:r w:rsidRPr="00804D15">
        <w:rPr>
          <w:rFonts w:ascii="Times New Roman" w:hAnsi="Times New Roman" w:cs="Times New Roman"/>
          <w:b/>
          <w:sz w:val="14"/>
          <w:szCs w:val="14"/>
        </w:rPr>
        <w:t>não utilizadas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no objeto pactuado, serão </w:t>
      </w:r>
      <w:r w:rsidRPr="00804D15">
        <w:rPr>
          <w:rFonts w:ascii="Times New Roman" w:hAnsi="Times New Roman" w:cs="Times New Roman"/>
          <w:b/>
          <w:sz w:val="14"/>
          <w:szCs w:val="14"/>
        </w:rPr>
        <w:t>devolvidos</w:t>
      </w:r>
      <w:r w:rsidRPr="00804D15">
        <w:rPr>
          <w:rFonts w:ascii="Times New Roman" w:hAnsi="Times New Roman" w:cs="Times New Roman"/>
          <w:sz w:val="14"/>
          <w:szCs w:val="14"/>
        </w:rPr>
        <w:t xml:space="preserve"> no prazo estabelecido para a apresentação da prestação de contas observando a proporcionalidade dos recursos que cabe 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ao concedente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 xml:space="preserve"> e ao convenente, independentemente da data em que foram aportados pelas partes. Art. 40, §7° do Decreto Estadual nº 5.815/18</w:t>
      </w:r>
      <w:r w:rsidR="008138BB" w:rsidRPr="00804D15">
        <w:rPr>
          <w:rFonts w:ascii="Times New Roman" w:hAnsi="Times New Roman" w:cs="Times New Roman"/>
          <w:sz w:val="14"/>
          <w:szCs w:val="14"/>
        </w:rPr>
        <w:t>.</w:t>
      </w:r>
    </w:p>
  </w:footnote>
  <w:footnote w:id="6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Style w:val="FootnoteCharacters"/>
          <w:rFonts w:ascii="Times New Roman" w:hAnsi="Times New Roman" w:cs="Times New Roman"/>
          <w:b/>
          <w:sz w:val="14"/>
          <w:szCs w:val="14"/>
        </w:rPr>
        <w:tab/>
      </w:r>
      <w:r w:rsidRPr="00804D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>Contar ainda (quando for o caso) o Edital ou convite e respectivos anexos, Comprovante das publicações do edital resumido ou a entrega do convite; ato de designação da comissão de licitação, do leiloeiro administrativo ou oficial, ou do responsável pelo convite; cópia das propostas e dos demais documentos.</w:t>
      </w:r>
    </w:p>
  </w:footnote>
  <w:footnote w:id="7">
    <w:p w:rsidR="00892567" w:rsidRPr="00974E7A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Style w:val="FootnoteCharacters"/>
          <w:rFonts w:ascii="Times New Roman" w:hAnsi="Times New Roman" w:cs="Times New Roman"/>
          <w:b/>
          <w:sz w:val="14"/>
          <w:szCs w:val="14"/>
        </w:rPr>
        <w:tab/>
      </w:r>
      <w:r w:rsidRPr="00804D15">
        <w:rPr>
          <w:rFonts w:ascii="Times New Roman" w:hAnsi="Times New Roman" w:cs="Times New Roman"/>
          <w:sz w:val="14"/>
          <w:szCs w:val="14"/>
        </w:rPr>
        <w:t xml:space="preserve"> As ocorrências encontradas de ordem técnica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, concederá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 xml:space="preserve"> ao convenente prazos para que ele possa apresentar seus esclarecimentos serão fixados 30 (trinta) dias para sanear ou apresentar informações, o concedente terá 15 (quinze) dias para apreciar, decidir e comunicar quanto à aceitação ou não das justificativas apresentadas, caso não acatadas essas justificativas, o convenente terá o prazo de 30 (trinta)dias para regularizar a pendência.</w:t>
      </w:r>
      <w:r w:rsidRPr="00974E7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8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 xml:space="preserve">A análise da Prestação de contas 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pelo concedente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 xml:space="preserve"> resultará: </w:t>
      </w:r>
      <w:r w:rsidRPr="00804D15">
        <w:rPr>
          <w:rFonts w:ascii="Times New Roman" w:hAnsi="Times New Roman" w:cs="Times New Roman"/>
          <w:sz w:val="14"/>
          <w:szCs w:val="14"/>
          <w:u w:val="single"/>
        </w:rPr>
        <w:t>Aprovada</w:t>
      </w:r>
      <w:r w:rsidRPr="00804D15">
        <w:rPr>
          <w:rFonts w:ascii="Times New Roman" w:hAnsi="Times New Roman" w:cs="Times New Roman"/>
          <w:sz w:val="14"/>
          <w:szCs w:val="14"/>
        </w:rPr>
        <w:t xml:space="preserve"> – baixa contábil; </w:t>
      </w:r>
      <w:r w:rsidRPr="00804D15">
        <w:rPr>
          <w:rFonts w:ascii="Times New Roman" w:hAnsi="Times New Roman" w:cs="Times New Roman"/>
          <w:sz w:val="14"/>
          <w:szCs w:val="14"/>
          <w:u w:val="single"/>
        </w:rPr>
        <w:t>Aprovada com Ressalvas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– evidencia impropriedade ou outra falta de natureza formal de que não resulte dano ao erário, e baixa contábil; e </w:t>
      </w:r>
      <w:r w:rsidRPr="00804D15">
        <w:rPr>
          <w:rFonts w:ascii="Times New Roman" w:hAnsi="Times New Roman" w:cs="Times New Roman"/>
          <w:sz w:val="14"/>
          <w:szCs w:val="14"/>
          <w:u w:val="single"/>
        </w:rPr>
        <w:t>Rejeitada</w:t>
      </w:r>
      <w:r w:rsidRPr="00804D15">
        <w:rPr>
          <w:rFonts w:ascii="Times New Roman" w:hAnsi="Times New Roman" w:cs="Times New Roman"/>
          <w:sz w:val="14"/>
          <w:szCs w:val="14"/>
        </w:rPr>
        <w:t xml:space="preserve"> – determina imediata instauração de Tomada de Contas Especial quando resulte dano ao erário.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3" w:type="dxa"/>
      <w:tblInd w:w="-63" w:type="dxa"/>
      <w:tblLook w:val="04A0"/>
    </w:tblPr>
    <w:tblGrid>
      <w:gridCol w:w="5436"/>
      <w:gridCol w:w="3807"/>
    </w:tblGrid>
    <w:tr w:rsidR="00892567" w:rsidTr="00A32507">
      <w:trPr>
        <w:trHeight w:val="993"/>
      </w:trPr>
      <w:tc>
        <w:tcPr>
          <w:tcW w:w="5436" w:type="dxa"/>
          <w:shd w:val="clear" w:color="auto" w:fill="auto"/>
        </w:tcPr>
        <w:p w:rsidR="00892567" w:rsidRDefault="00997513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9525" distL="0" distR="0">
                <wp:extent cx="3314700" cy="714375"/>
                <wp:effectExtent l="0" t="0" r="0" b="0"/>
                <wp:docPr id="1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7" w:type="dxa"/>
          <w:shd w:val="clear" w:color="auto" w:fill="auto"/>
        </w:tcPr>
        <w:p w:rsidR="00892567" w:rsidRPr="00490E00" w:rsidRDefault="00997513" w:rsidP="00A32507">
          <w:pPr>
            <w:pStyle w:val="Cabealho"/>
            <w:ind w:right="-250"/>
          </w:pPr>
          <w:r w:rsidRPr="00490E00">
            <w:rPr>
              <w:rFonts w:eastAsia="Times New Roman" w:cs="Arial"/>
              <w:bCs/>
              <w:color w:val="0F243E" w:themeColor="text2" w:themeShade="80"/>
              <w:sz w:val="18"/>
              <w:szCs w:val="18"/>
              <w:lang w:eastAsia="pt-BR"/>
            </w:rPr>
            <w:t>Praça dos Girassóis, Esplanada das Secretarias. S/N</w:t>
          </w:r>
          <w:r w:rsidRPr="00490E00"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892567" w:rsidRPr="00490E00" w:rsidRDefault="00997513" w:rsidP="00343B3F">
          <w:pPr>
            <w:pStyle w:val="Cabealho"/>
          </w:pPr>
          <w:r w:rsidRPr="00490E00"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892567" w:rsidRPr="00490E00" w:rsidRDefault="00997513" w:rsidP="00343B3F">
          <w:pPr>
            <w:pStyle w:val="Cabealho"/>
          </w:pPr>
          <w:r w:rsidRPr="00490E00"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892567" w:rsidRDefault="00997513" w:rsidP="00343B3F">
          <w:pPr>
            <w:pStyle w:val="Cabealho"/>
          </w:pPr>
          <w:proofErr w:type="spellStart"/>
          <w:r w:rsidRPr="00490E00">
            <w:rPr>
              <w:color w:val="0F243E" w:themeColor="text2" w:themeShade="80"/>
              <w:sz w:val="18"/>
              <w:szCs w:val="18"/>
            </w:rPr>
            <w:t>Tel</w:t>
          </w:r>
          <w:proofErr w:type="spellEnd"/>
          <w:r w:rsidRPr="00490E00">
            <w:rPr>
              <w:color w:val="0F243E" w:themeColor="text2" w:themeShade="80"/>
              <w:sz w:val="18"/>
              <w:szCs w:val="18"/>
            </w:rPr>
            <w:t>: +55 63 3218-2563</w:t>
          </w:r>
          <w:r w:rsidRPr="00490E00"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892567" w:rsidRDefault="00892567" w:rsidP="00343B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6A2"/>
    <w:multiLevelType w:val="multilevel"/>
    <w:tmpl w:val="8A845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255DC9"/>
    <w:multiLevelType w:val="multilevel"/>
    <w:tmpl w:val="63262BA0"/>
    <w:lvl w:ilvl="0">
      <w:start w:val="1"/>
      <w:numFmt w:val="lowerLetter"/>
      <w:lvlText w:val="%1)"/>
      <w:lvlJc w:val="left"/>
      <w:pPr>
        <w:ind w:left="405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327800"/>
    <w:multiLevelType w:val="multilevel"/>
    <w:tmpl w:val="EC26F8B0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67"/>
    <w:rsid w:val="000558B4"/>
    <w:rsid w:val="002B11D1"/>
    <w:rsid w:val="00343B3F"/>
    <w:rsid w:val="00375565"/>
    <w:rsid w:val="00415106"/>
    <w:rsid w:val="00490E00"/>
    <w:rsid w:val="00510F9C"/>
    <w:rsid w:val="00576191"/>
    <w:rsid w:val="00804D15"/>
    <w:rsid w:val="008138BB"/>
    <w:rsid w:val="00892567"/>
    <w:rsid w:val="008A74D5"/>
    <w:rsid w:val="00974E7A"/>
    <w:rsid w:val="00997513"/>
    <w:rsid w:val="00A32507"/>
    <w:rsid w:val="00B54C0B"/>
    <w:rsid w:val="00BB16AF"/>
    <w:rsid w:val="00C93599"/>
    <w:rsid w:val="00CA00B9"/>
    <w:rsid w:val="00D7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01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72E1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E4E65"/>
    <w:rPr>
      <w:sz w:val="20"/>
      <w:szCs w:val="20"/>
    </w:rPr>
  </w:style>
  <w:style w:type="character" w:customStyle="1" w:styleId="ncoradanotaderodap">
    <w:name w:val="Âncora da nota de rodapé"/>
    <w:rsid w:val="008A74D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E4E6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sid w:val="00001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sid w:val="008A74D5"/>
    <w:rPr>
      <w:rFonts w:eastAsia="Arial"/>
    </w:rPr>
  </w:style>
  <w:style w:type="character" w:customStyle="1" w:styleId="ListLabel2">
    <w:name w:val="ListLabel 2"/>
    <w:qFormat/>
    <w:rsid w:val="008A74D5"/>
    <w:rPr>
      <w:rFonts w:eastAsia="Arial"/>
    </w:rPr>
  </w:style>
  <w:style w:type="character" w:customStyle="1" w:styleId="ListLabel3">
    <w:name w:val="ListLabel 3"/>
    <w:qFormat/>
    <w:rsid w:val="008A74D5"/>
    <w:rPr>
      <w:b/>
      <w:color w:val="auto"/>
      <w:sz w:val="18"/>
      <w:szCs w:val="18"/>
    </w:rPr>
  </w:style>
  <w:style w:type="character" w:customStyle="1" w:styleId="ListLabel4">
    <w:name w:val="ListLabel 4"/>
    <w:qFormat/>
    <w:rsid w:val="008A74D5"/>
    <w:rPr>
      <w:rFonts w:eastAsia="Arial"/>
      <w:b/>
    </w:rPr>
  </w:style>
  <w:style w:type="character" w:customStyle="1" w:styleId="ListLabel5">
    <w:name w:val="ListLabel 5"/>
    <w:qFormat/>
    <w:rsid w:val="008A74D5"/>
    <w:rPr>
      <w:b/>
      <w:color w:val="auto"/>
    </w:rPr>
  </w:style>
  <w:style w:type="character" w:customStyle="1" w:styleId="ListLabel6">
    <w:name w:val="ListLabel 6"/>
    <w:qFormat/>
    <w:rsid w:val="008A74D5"/>
    <w:rPr>
      <w:b/>
      <w:color w:val="auto"/>
      <w:sz w:val="24"/>
    </w:rPr>
  </w:style>
  <w:style w:type="character" w:customStyle="1" w:styleId="ListLabel7">
    <w:name w:val="ListLabel 7"/>
    <w:qFormat/>
    <w:rsid w:val="008A74D5"/>
    <w:rPr>
      <w:b/>
      <w:sz w:val="18"/>
    </w:rPr>
  </w:style>
  <w:style w:type="character" w:customStyle="1" w:styleId="ListLabel8">
    <w:name w:val="ListLabel 8"/>
    <w:qFormat/>
    <w:rsid w:val="008A74D5"/>
    <w:rPr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8A74D5"/>
    <w:rPr>
      <w:b/>
      <w:color w:val="auto"/>
      <w:sz w:val="20"/>
      <w:szCs w:val="20"/>
    </w:rPr>
  </w:style>
  <w:style w:type="character" w:customStyle="1" w:styleId="ListLabel10">
    <w:name w:val="ListLabel 10"/>
    <w:qFormat/>
    <w:rsid w:val="008A74D5"/>
    <w:rPr>
      <w:rFonts w:eastAsia="Arial" w:cs="Arial"/>
      <w:color w:val="auto"/>
      <w:sz w:val="18"/>
      <w:szCs w:val="18"/>
    </w:rPr>
  </w:style>
  <w:style w:type="character" w:customStyle="1" w:styleId="ListLabel11">
    <w:name w:val="ListLabel 11"/>
    <w:qFormat/>
    <w:rsid w:val="008A74D5"/>
    <w:rPr>
      <w:rFonts w:ascii="Gotham Medium" w:hAnsi="Gotham Medium"/>
      <w:sz w:val="16"/>
      <w:szCs w:val="16"/>
    </w:rPr>
  </w:style>
  <w:style w:type="character" w:customStyle="1" w:styleId="Caracteresdenotaderodap">
    <w:name w:val="Caracteres de nota de rodapé"/>
    <w:qFormat/>
    <w:rsid w:val="008A74D5"/>
  </w:style>
  <w:style w:type="character" w:customStyle="1" w:styleId="ncoradanotadefim">
    <w:name w:val="Âncora da nota de fim"/>
    <w:rsid w:val="008A74D5"/>
    <w:rPr>
      <w:vertAlign w:val="superscript"/>
    </w:rPr>
  </w:style>
  <w:style w:type="character" w:customStyle="1" w:styleId="Caracteresdenotadefim">
    <w:name w:val="Caracteres de nota de fim"/>
    <w:qFormat/>
    <w:rsid w:val="008A74D5"/>
  </w:style>
  <w:style w:type="paragraph" w:styleId="Ttulo">
    <w:name w:val="Title"/>
    <w:basedOn w:val="Normal"/>
    <w:next w:val="Corpodetexto"/>
    <w:qFormat/>
    <w:rsid w:val="008A74D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8A74D5"/>
    <w:pPr>
      <w:spacing w:after="140"/>
    </w:pPr>
  </w:style>
  <w:style w:type="paragraph" w:styleId="Lista">
    <w:name w:val="List"/>
    <w:basedOn w:val="Corpodetexto"/>
    <w:rsid w:val="008A74D5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8A74D5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A74D5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65"/>
    <w:pPr>
      <w:spacing w:after="0" w:line="240" w:lineRule="auto"/>
    </w:pPr>
    <w:rPr>
      <w:sz w:val="20"/>
      <w:szCs w:val="20"/>
    </w:rPr>
  </w:style>
  <w:style w:type="paragraph" w:customStyle="1" w:styleId="padro">
    <w:name w:val="padro"/>
    <w:basedOn w:val="Normal"/>
    <w:qFormat/>
    <w:rsid w:val="00B74CC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3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convenios/apl_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5059-7CC7-4429-B0BD-7C8289A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4</Pages>
  <Words>1827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Adelvy</cp:lastModifiedBy>
  <cp:revision>31</cp:revision>
  <cp:lastPrinted>2019-09-12T19:33:00Z</cp:lastPrinted>
  <dcterms:created xsi:type="dcterms:W3CDTF">2017-06-01T20:38:00Z</dcterms:created>
  <dcterms:modified xsi:type="dcterms:W3CDTF">2020-04-02T17:38:00Z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