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C7" w:rsidRPr="00127683" w:rsidRDefault="00961781">
      <w:pPr>
        <w:tabs>
          <w:tab w:val="center" w:pos="2281"/>
          <w:tab w:val="right" w:pos="15181"/>
        </w:tabs>
        <w:spacing w:after="0" w:line="360" w:lineRule="auto"/>
        <w:ind w:left="0" w:right="0" w:firstLine="0"/>
        <w:jc w:val="center"/>
        <w:rPr>
          <w:rFonts w:ascii="Times New Roman" w:hAnsi="Times New Roman"/>
          <w:b/>
          <w:i/>
          <w:sz w:val="20"/>
          <w:szCs w:val="20"/>
        </w:rPr>
      </w:pPr>
      <w:r w:rsidRPr="00127683">
        <w:rPr>
          <w:rFonts w:ascii="Times New Roman" w:hAnsi="Times New Roman"/>
          <w:b/>
          <w:i/>
          <w:sz w:val="20"/>
          <w:szCs w:val="20"/>
        </w:rPr>
        <w:t>CHECKLIST</w:t>
      </w:r>
    </w:p>
    <w:p w:rsidR="00A712C7" w:rsidRPr="00127683" w:rsidRDefault="00A712C7">
      <w:pPr>
        <w:tabs>
          <w:tab w:val="center" w:pos="2281"/>
          <w:tab w:val="right" w:pos="15181"/>
        </w:tabs>
        <w:spacing w:after="0" w:line="360" w:lineRule="auto"/>
        <w:ind w:left="0" w:right="0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A712C7" w:rsidRPr="00127683" w:rsidRDefault="00961781" w:rsidP="00BE7EDA">
      <w:pPr>
        <w:tabs>
          <w:tab w:val="right" w:pos="15181"/>
        </w:tabs>
        <w:spacing w:after="0" w:line="240" w:lineRule="auto"/>
        <w:ind w:left="0" w:right="0" w:firstLine="0"/>
        <w:jc w:val="center"/>
        <w:rPr>
          <w:rFonts w:ascii="Times New Roman" w:hAnsi="Times New Roman"/>
          <w:b/>
          <w:sz w:val="20"/>
          <w:szCs w:val="20"/>
        </w:rPr>
      </w:pPr>
      <w:r w:rsidRPr="00127683">
        <w:rPr>
          <w:rFonts w:ascii="Times New Roman" w:hAnsi="Times New Roman"/>
          <w:b/>
          <w:sz w:val="20"/>
          <w:szCs w:val="20"/>
        </w:rPr>
        <w:t>Auditoria/Fiscalização</w:t>
      </w:r>
    </w:p>
    <w:p w:rsidR="00A712C7" w:rsidRPr="00127683" w:rsidRDefault="00961781" w:rsidP="00BE7EDA">
      <w:pPr>
        <w:tabs>
          <w:tab w:val="right" w:pos="15181"/>
        </w:tabs>
        <w:spacing w:after="0" w:line="240" w:lineRule="auto"/>
        <w:ind w:left="0" w:right="0" w:firstLine="0"/>
        <w:jc w:val="center"/>
        <w:rPr>
          <w:rFonts w:ascii="Times New Roman" w:hAnsi="Times New Roman"/>
          <w:b/>
          <w:sz w:val="20"/>
          <w:szCs w:val="20"/>
        </w:rPr>
      </w:pPr>
      <w:r w:rsidRPr="00127683">
        <w:rPr>
          <w:rFonts w:ascii="Times New Roman" w:hAnsi="Times New Roman"/>
          <w:b/>
          <w:sz w:val="20"/>
          <w:szCs w:val="20"/>
        </w:rPr>
        <w:t>Sistema de Registro de Preços</w:t>
      </w:r>
    </w:p>
    <w:p w:rsidR="00A712C7" w:rsidRPr="00127683" w:rsidRDefault="00961781" w:rsidP="00BE7EDA">
      <w:pPr>
        <w:spacing w:after="0" w:line="240" w:lineRule="auto"/>
        <w:ind w:left="2" w:right="0" w:firstLine="0"/>
        <w:jc w:val="center"/>
        <w:rPr>
          <w:rFonts w:ascii="Times New Roman" w:hAnsi="Times New Roman"/>
          <w:b/>
          <w:sz w:val="20"/>
          <w:szCs w:val="20"/>
        </w:rPr>
      </w:pPr>
      <w:r w:rsidRPr="00127683">
        <w:rPr>
          <w:rFonts w:ascii="Times New Roman" w:hAnsi="Times New Roman"/>
          <w:b/>
          <w:sz w:val="20"/>
          <w:szCs w:val="20"/>
        </w:rPr>
        <w:t>(Órgão Gerenciador, Participante e Não Participante</w:t>
      </w:r>
      <w:proofErr w:type="gramStart"/>
      <w:r w:rsidRPr="00127683">
        <w:rPr>
          <w:rFonts w:ascii="Times New Roman" w:hAnsi="Times New Roman"/>
          <w:b/>
          <w:sz w:val="20"/>
          <w:szCs w:val="20"/>
        </w:rPr>
        <w:t>)</w:t>
      </w:r>
      <w:proofErr w:type="gramEnd"/>
      <w:r w:rsidRPr="00127683">
        <w:rPr>
          <w:rFonts w:ascii="Times New Roman" w:hAnsi="Times New Roman"/>
          <w:b/>
          <w:sz w:val="20"/>
          <w:szCs w:val="20"/>
        </w:rPr>
        <w:t xml:space="preserve"> </w:t>
      </w:r>
    </w:p>
    <w:p w:rsidR="00A712C7" w:rsidRDefault="00A712C7">
      <w:pPr>
        <w:spacing w:after="0" w:line="360" w:lineRule="auto"/>
        <w:ind w:left="14" w:right="0"/>
        <w:jc w:val="left"/>
        <w:rPr>
          <w:rFonts w:ascii="Times New Roman" w:hAnsi="Times New Roman"/>
          <w:b/>
          <w:sz w:val="20"/>
          <w:szCs w:val="20"/>
          <w:u w:val="single" w:color="000000"/>
        </w:rPr>
      </w:pPr>
    </w:p>
    <w:p w:rsidR="00A712C7" w:rsidRPr="00F255C6" w:rsidRDefault="00961781">
      <w:pPr>
        <w:spacing w:after="0" w:line="360" w:lineRule="auto"/>
        <w:ind w:left="-5" w:right="0" w:firstLine="5"/>
        <w:rPr>
          <w:rFonts w:ascii="Times New Roman" w:hAnsi="Times New Roman" w:cs="Times New Roman"/>
          <w:sz w:val="18"/>
          <w:szCs w:val="18"/>
        </w:rPr>
      </w:pPr>
      <w:r w:rsidRPr="00F255C6">
        <w:rPr>
          <w:rFonts w:ascii="Times New Roman" w:hAnsi="Times New Roman" w:cs="Times New Roman"/>
          <w:sz w:val="18"/>
          <w:szCs w:val="18"/>
        </w:rPr>
        <w:t>Órgão/Entidade: __________________________________________________________</w:t>
      </w:r>
      <w:r w:rsidR="00EC0508">
        <w:rPr>
          <w:rFonts w:ascii="Times New Roman" w:hAnsi="Times New Roman" w:cs="Times New Roman"/>
          <w:sz w:val="18"/>
          <w:szCs w:val="18"/>
        </w:rPr>
        <w:t>___________</w:t>
      </w:r>
      <w:r w:rsidRPr="00F255C6">
        <w:rPr>
          <w:rFonts w:ascii="Times New Roman" w:hAnsi="Times New Roman" w:cs="Times New Roman"/>
          <w:sz w:val="18"/>
          <w:szCs w:val="18"/>
        </w:rPr>
        <w:t>__________________</w:t>
      </w:r>
    </w:p>
    <w:p w:rsidR="00A712C7" w:rsidRPr="00F255C6" w:rsidRDefault="00961781">
      <w:pPr>
        <w:spacing w:after="0" w:line="360" w:lineRule="auto"/>
        <w:ind w:left="-5" w:right="0" w:firstLine="5"/>
        <w:rPr>
          <w:rFonts w:ascii="Times New Roman" w:hAnsi="Times New Roman" w:cs="Times New Roman"/>
          <w:sz w:val="18"/>
          <w:szCs w:val="18"/>
        </w:rPr>
      </w:pPr>
      <w:r w:rsidRPr="00F255C6">
        <w:rPr>
          <w:rFonts w:ascii="Times New Roman" w:hAnsi="Times New Roman" w:cs="Times New Roman"/>
          <w:sz w:val="18"/>
          <w:szCs w:val="18"/>
        </w:rPr>
        <w:t>Número da Ata: ________________________________Processo nº: ___________________________</w:t>
      </w:r>
      <w:r w:rsidR="00EC0508">
        <w:rPr>
          <w:rFonts w:ascii="Times New Roman" w:hAnsi="Times New Roman" w:cs="Times New Roman"/>
          <w:sz w:val="18"/>
          <w:szCs w:val="18"/>
        </w:rPr>
        <w:t>___________</w:t>
      </w:r>
      <w:r w:rsidRPr="00F255C6">
        <w:rPr>
          <w:rFonts w:ascii="Times New Roman" w:hAnsi="Times New Roman" w:cs="Times New Roman"/>
          <w:sz w:val="18"/>
          <w:szCs w:val="18"/>
        </w:rPr>
        <w:t>_______</w:t>
      </w:r>
    </w:p>
    <w:p w:rsidR="00A712C7" w:rsidRPr="00F255C6" w:rsidRDefault="007D31CB">
      <w:pPr>
        <w:spacing w:after="0" w:line="360" w:lineRule="auto"/>
        <w:ind w:left="19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F255C6">
        <w:rPr>
          <w:rFonts w:ascii="Times New Roman" w:hAnsi="Times New Roman" w:cs="Times New Roman"/>
          <w:sz w:val="18"/>
          <w:szCs w:val="18"/>
        </w:rPr>
        <w:t>Edital de Licitação nº: ____________________________________</w:t>
      </w:r>
      <w:r w:rsidR="008D032B" w:rsidRPr="00F255C6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EC0508">
        <w:rPr>
          <w:rFonts w:ascii="Times New Roman" w:hAnsi="Times New Roman" w:cs="Times New Roman"/>
          <w:sz w:val="18"/>
          <w:szCs w:val="18"/>
        </w:rPr>
        <w:t>__________</w:t>
      </w:r>
    </w:p>
    <w:p w:rsidR="00A712C7" w:rsidRPr="00F255C6" w:rsidRDefault="00A712C7">
      <w:pPr>
        <w:spacing w:after="0" w:line="360" w:lineRule="auto"/>
        <w:ind w:left="19" w:righ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A712C7" w:rsidRPr="00F255C6" w:rsidRDefault="00961781">
      <w:pPr>
        <w:spacing w:after="0" w:line="360" w:lineRule="auto"/>
        <w:ind w:left="14" w:right="0"/>
        <w:rPr>
          <w:rFonts w:ascii="Times New Roman" w:hAnsi="Times New Roman" w:cs="Times New Roman"/>
          <w:sz w:val="18"/>
          <w:szCs w:val="18"/>
        </w:rPr>
      </w:pPr>
      <w:r w:rsidRPr="00F255C6">
        <w:rPr>
          <w:rFonts w:ascii="Times New Roman" w:hAnsi="Times New Roman" w:cs="Times New Roman"/>
          <w:b/>
          <w:sz w:val="18"/>
          <w:szCs w:val="18"/>
          <w:u w:val="single" w:color="000000"/>
        </w:rPr>
        <w:t>SRP</w:t>
      </w:r>
      <w:r w:rsidRPr="00F255C6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Pr="00F255C6">
        <w:rPr>
          <w:rFonts w:ascii="Times New Roman" w:hAnsi="Times New Roman" w:cs="Times New Roman"/>
          <w:sz w:val="18"/>
          <w:szCs w:val="18"/>
        </w:rPr>
        <w:t>Conjunto de procedimentos para registro formal de preços relativos à aquisição de bens, à prestação de serviços, inclusive de locação, para contratações futuras. (</w:t>
      </w:r>
      <w:r w:rsidR="003C5B62" w:rsidRPr="00F255C6">
        <w:rPr>
          <w:rFonts w:ascii="Times New Roman" w:hAnsi="Times New Roman" w:cs="Times New Roman"/>
          <w:sz w:val="18"/>
          <w:szCs w:val="18"/>
        </w:rPr>
        <w:t>a</w:t>
      </w:r>
      <w:r w:rsidR="007D31CB" w:rsidRPr="00F255C6">
        <w:rPr>
          <w:rFonts w:ascii="Times New Roman" w:hAnsi="Times New Roman" w:cs="Times New Roman"/>
          <w:sz w:val="18"/>
          <w:szCs w:val="18"/>
        </w:rPr>
        <w:t>rt.</w:t>
      </w:r>
      <w:r w:rsidRPr="00F255C6">
        <w:rPr>
          <w:rFonts w:ascii="Times New Roman" w:hAnsi="Times New Roman" w:cs="Times New Roman"/>
          <w:sz w:val="18"/>
          <w:szCs w:val="18"/>
        </w:rPr>
        <w:t xml:space="preserve"> 2º, I do Decreto</w:t>
      </w:r>
      <w:r w:rsidRPr="00F255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C5B62" w:rsidRPr="00F255C6">
        <w:rPr>
          <w:rFonts w:ascii="Times New Roman" w:hAnsi="Times New Roman" w:cs="Times New Roman"/>
          <w:bCs/>
          <w:sz w:val="18"/>
          <w:szCs w:val="18"/>
        </w:rPr>
        <w:t>Estadual</w:t>
      </w:r>
      <w:r w:rsidR="003C5B62" w:rsidRPr="00F255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55C6">
        <w:rPr>
          <w:rFonts w:ascii="Times New Roman" w:hAnsi="Times New Roman" w:cs="Times New Roman"/>
          <w:sz w:val="18"/>
          <w:szCs w:val="18"/>
        </w:rPr>
        <w:t xml:space="preserve">nº </w:t>
      </w:r>
      <w:r w:rsidR="00E0398F" w:rsidRPr="00E0398F">
        <w:rPr>
          <w:rFonts w:ascii="Times New Roman" w:hAnsi="Times New Roman" w:cs="Times New Roman"/>
          <w:bCs/>
          <w:sz w:val="18"/>
          <w:szCs w:val="18"/>
        </w:rPr>
        <w:t>6.081/2020</w:t>
      </w:r>
      <w:r w:rsidR="00E0398F">
        <w:rPr>
          <w:color w:val="auto"/>
          <w:sz w:val="18"/>
          <w:szCs w:val="18"/>
        </w:rPr>
        <w:t xml:space="preserve"> </w:t>
      </w:r>
      <w:r w:rsidRPr="00F255C6">
        <w:rPr>
          <w:rFonts w:ascii="Times New Roman" w:hAnsi="Times New Roman" w:cs="Times New Roman"/>
          <w:sz w:val="18"/>
          <w:szCs w:val="18"/>
        </w:rPr>
        <w:t>e do Decreto Federal nº</w:t>
      </w:r>
      <w:r w:rsidR="00E0398F">
        <w:rPr>
          <w:rFonts w:ascii="Times New Roman" w:hAnsi="Times New Roman" w:cs="Times New Roman"/>
          <w:sz w:val="18"/>
          <w:szCs w:val="18"/>
        </w:rPr>
        <w:t> </w:t>
      </w:r>
      <w:r w:rsidRPr="00F255C6">
        <w:rPr>
          <w:rFonts w:ascii="Times New Roman" w:hAnsi="Times New Roman" w:cs="Times New Roman"/>
          <w:sz w:val="18"/>
          <w:szCs w:val="18"/>
        </w:rPr>
        <w:t>7.892/</w:t>
      </w:r>
      <w:r w:rsidR="00E0398F">
        <w:rPr>
          <w:rFonts w:ascii="Times New Roman" w:hAnsi="Times New Roman" w:cs="Times New Roman"/>
          <w:sz w:val="18"/>
          <w:szCs w:val="18"/>
        </w:rPr>
        <w:t>20</w:t>
      </w:r>
      <w:r w:rsidRPr="00F255C6">
        <w:rPr>
          <w:rFonts w:ascii="Times New Roman" w:hAnsi="Times New Roman" w:cs="Times New Roman"/>
          <w:sz w:val="18"/>
          <w:szCs w:val="18"/>
        </w:rPr>
        <w:t xml:space="preserve">13). </w:t>
      </w:r>
    </w:p>
    <w:p w:rsidR="00A712C7" w:rsidRPr="00F255C6" w:rsidRDefault="00A712C7">
      <w:pPr>
        <w:spacing w:after="0" w:line="360" w:lineRule="auto"/>
        <w:ind w:left="19" w:righ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A712C7" w:rsidRPr="00F255C6" w:rsidRDefault="00961781">
      <w:pPr>
        <w:spacing w:after="0" w:line="360" w:lineRule="auto"/>
        <w:ind w:left="14" w:right="0"/>
        <w:rPr>
          <w:rFonts w:ascii="Times New Roman" w:hAnsi="Times New Roman" w:cs="Times New Roman"/>
          <w:sz w:val="18"/>
          <w:szCs w:val="18"/>
        </w:rPr>
      </w:pPr>
      <w:r w:rsidRPr="00F255C6">
        <w:rPr>
          <w:rFonts w:ascii="Times New Roman" w:hAnsi="Times New Roman" w:cs="Times New Roman"/>
          <w:b/>
          <w:sz w:val="18"/>
          <w:szCs w:val="18"/>
          <w:u w:val="single" w:color="000000"/>
        </w:rPr>
        <w:t>Órgão Gerenciador</w:t>
      </w:r>
      <w:r w:rsidRPr="00F255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55C6">
        <w:rPr>
          <w:rFonts w:ascii="Times New Roman" w:hAnsi="Times New Roman" w:cs="Times New Roman"/>
          <w:sz w:val="18"/>
          <w:szCs w:val="18"/>
        </w:rPr>
        <w:t>–</w:t>
      </w:r>
      <w:r w:rsidRPr="00F255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55C6">
        <w:rPr>
          <w:rFonts w:ascii="Times New Roman" w:hAnsi="Times New Roman" w:cs="Times New Roman"/>
          <w:sz w:val="18"/>
          <w:szCs w:val="18"/>
        </w:rPr>
        <w:t>Órgão ou Entidade da Administração Pública Estadual ou Federal responsável pela condução do conjunto de procedimentos para registro de preços</w:t>
      </w:r>
      <w:r w:rsidRPr="00F255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55C6">
        <w:rPr>
          <w:rFonts w:ascii="Times New Roman" w:hAnsi="Times New Roman" w:cs="Times New Roman"/>
          <w:sz w:val="18"/>
          <w:szCs w:val="18"/>
        </w:rPr>
        <w:t>e gerenciamento da ata de registro de preços dela decorrente. (</w:t>
      </w:r>
      <w:r w:rsidR="003C5B62" w:rsidRPr="00F255C6">
        <w:rPr>
          <w:rFonts w:ascii="Times New Roman" w:hAnsi="Times New Roman" w:cs="Times New Roman"/>
          <w:sz w:val="18"/>
          <w:szCs w:val="18"/>
        </w:rPr>
        <w:t>a</w:t>
      </w:r>
      <w:r w:rsidR="007D31CB" w:rsidRPr="00F255C6">
        <w:rPr>
          <w:rFonts w:ascii="Times New Roman" w:hAnsi="Times New Roman" w:cs="Times New Roman"/>
          <w:sz w:val="18"/>
          <w:szCs w:val="18"/>
        </w:rPr>
        <w:t>rt.</w:t>
      </w:r>
      <w:r w:rsidRPr="00F255C6">
        <w:rPr>
          <w:rFonts w:ascii="Times New Roman" w:hAnsi="Times New Roman" w:cs="Times New Roman"/>
          <w:sz w:val="18"/>
          <w:szCs w:val="18"/>
        </w:rPr>
        <w:t xml:space="preserve"> 2º, III do Decreto </w:t>
      </w:r>
      <w:r w:rsidR="003C5B62" w:rsidRPr="00F255C6">
        <w:rPr>
          <w:rFonts w:ascii="Times New Roman" w:hAnsi="Times New Roman" w:cs="Times New Roman"/>
          <w:sz w:val="18"/>
          <w:szCs w:val="18"/>
        </w:rPr>
        <w:t xml:space="preserve">Estadual </w:t>
      </w:r>
      <w:r w:rsidRPr="00F255C6">
        <w:rPr>
          <w:rFonts w:ascii="Times New Roman" w:hAnsi="Times New Roman" w:cs="Times New Roman"/>
          <w:sz w:val="18"/>
          <w:szCs w:val="18"/>
        </w:rPr>
        <w:t xml:space="preserve">nº </w:t>
      </w:r>
      <w:r w:rsidR="00E0398F" w:rsidRPr="00E0398F">
        <w:rPr>
          <w:rFonts w:ascii="Times New Roman" w:hAnsi="Times New Roman" w:cs="Times New Roman"/>
          <w:bCs/>
          <w:sz w:val="18"/>
          <w:szCs w:val="18"/>
        </w:rPr>
        <w:t>6.081/2020</w:t>
      </w:r>
      <w:r w:rsidR="003A19CC" w:rsidRPr="003A19CC">
        <w:rPr>
          <w:rFonts w:ascii="Times New Roman" w:hAnsi="Times New Roman" w:cs="Times New Roman"/>
          <w:color w:val="4472C4" w:themeColor="accent1"/>
          <w:sz w:val="18"/>
          <w:szCs w:val="18"/>
        </w:rPr>
        <w:t xml:space="preserve"> </w:t>
      </w:r>
      <w:r w:rsidRPr="00F255C6">
        <w:rPr>
          <w:rFonts w:ascii="Times New Roman" w:hAnsi="Times New Roman" w:cs="Times New Roman"/>
          <w:sz w:val="18"/>
          <w:szCs w:val="18"/>
        </w:rPr>
        <w:t xml:space="preserve">e do Decreto Federal nº 7.892/13). </w:t>
      </w:r>
    </w:p>
    <w:p w:rsidR="00A712C7" w:rsidRPr="00F255C6" w:rsidRDefault="00A712C7">
      <w:pPr>
        <w:spacing w:after="0" w:line="360" w:lineRule="auto"/>
        <w:ind w:left="19" w:righ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A712C7" w:rsidRPr="00F255C6" w:rsidRDefault="00961781">
      <w:pPr>
        <w:spacing w:after="0" w:line="360" w:lineRule="auto"/>
        <w:ind w:left="14" w:right="0"/>
        <w:rPr>
          <w:rFonts w:ascii="Times New Roman" w:hAnsi="Times New Roman" w:cs="Times New Roman"/>
          <w:sz w:val="18"/>
          <w:szCs w:val="18"/>
        </w:rPr>
      </w:pPr>
      <w:r w:rsidRPr="00F255C6">
        <w:rPr>
          <w:rFonts w:ascii="Times New Roman" w:hAnsi="Times New Roman" w:cs="Times New Roman"/>
          <w:b/>
          <w:sz w:val="18"/>
          <w:szCs w:val="18"/>
          <w:u w:val="single" w:color="000000"/>
        </w:rPr>
        <w:t>Órgão Participante</w:t>
      </w:r>
      <w:r w:rsidRPr="00F255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55C6">
        <w:rPr>
          <w:rFonts w:ascii="Times New Roman" w:hAnsi="Times New Roman" w:cs="Times New Roman"/>
          <w:sz w:val="18"/>
          <w:szCs w:val="18"/>
        </w:rPr>
        <w:t>–</w:t>
      </w:r>
      <w:r w:rsidRPr="00F255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55C6">
        <w:rPr>
          <w:rFonts w:ascii="Times New Roman" w:hAnsi="Times New Roman" w:cs="Times New Roman"/>
          <w:sz w:val="18"/>
          <w:szCs w:val="18"/>
        </w:rPr>
        <w:t>Órgão ou Entidade da Administração Pública Estadual que participa dos procedimentos iniciais do Sistema de Registro de Preços e íntegra a Ata de Registro de Preços. (</w:t>
      </w:r>
      <w:r w:rsidR="003C5B62" w:rsidRPr="00F255C6">
        <w:rPr>
          <w:rFonts w:ascii="Times New Roman" w:hAnsi="Times New Roman" w:cs="Times New Roman"/>
          <w:sz w:val="18"/>
          <w:szCs w:val="18"/>
        </w:rPr>
        <w:t>a</w:t>
      </w:r>
      <w:r w:rsidR="007D31CB" w:rsidRPr="00F255C6">
        <w:rPr>
          <w:rFonts w:ascii="Times New Roman" w:hAnsi="Times New Roman" w:cs="Times New Roman"/>
          <w:sz w:val="18"/>
          <w:szCs w:val="18"/>
        </w:rPr>
        <w:t>rt.</w:t>
      </w:r>
      <w:r w:rsidRPr="00F255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55C6">
        <w:rPr>
          <w:rFonts w:ascii="Times New Roman" w:hAnsi="Times New Roman" w:cs="Times New Roman"/>
          <w:sz w:val="18"/>
          <w:szCs w:val="18"/>
        </w:rPr>
        <w:t xml:space="preserve">2º, IV, do Decreto </w:t>
      </w:r>
      <w:r w:rsidR="003C5B62" w:rsidRPr="00F255C6">
        <w:rPr>
          <w:rFonts w:ascii="Times New Roman" w:hAnsi="Times New Roman" w:cs="Times New Roman"/>
          <w:sz w:val="18"/>
          <w:szCs w:val="18"/>
        </w:rPr>
        <w:t xml:space="preserve">Estadual </w:t>
      </w:r>
      <w:r w:rsidRPr="00F255C6">
        <w:rPr>
          <w:rFonts w:ascii="Times New Roman" w:hAnsi="Times New Roman" w:cs="Times New Roman"/>
          <w:sz w:val="18"/>
          <w:szCs w:val="18"/>
        </w:rPr>
        <w:t>nº</w:t>
      </w:r>
      <w:r w:rsidR="00E0398F">
        <w:rPr>
          <w:rFonts w:ascii="Times New Roman" w:hAnsi="Times New Roman" w:cs="Times New Roman"/>
          <w:sz w:val="18"/>
          <w:szCs w:val="18"/>
        </w:rPr>
        <w:t xml:space="preserve"> </w:t>
      </w:r>
      <w:r w:rsidR="00E0398F" w:rsidRPr="00E0398F">
        <w:rPr>
          <w:rFonts w:ascii="Times New Roman" w:hAnsi="Times New Roman" w:cs="Times New Roman"/>
          <w:bCs/>
          <w:sz w:val="18"/>
          <w:szCs w:val="18"/>
        </w:rPr>
        <w:t>6.081/2020</w:t>
      </w:r>
      <w:r w:rsidRPr="00F255C6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A712C7" w:rsidRPr="00F255C6" w:rsidRDefault="00A712C7">
      <w:pPr>
        <w:spacing w:after="0" w:line="360" w:lineRule="auto"/>
        <w:ind w:left="19" w:righ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A712C7" w:rsidRPr="00F255C6" w:rsidRDefault="00961781">
      <w:pPr>
        <w:spacing w:after="0" w:line="360" w:lineRule="auto"/>
        <w:ind w:left="14" w:right="0"/>
        <w:rPr>
          <w:rFonts w:ascii="Times New Roman" w:hAnsi="Times New Roman" w:cs="Times New Roman"/>
          <w:sz w:val="18"/>
          <w:szCs w:val="18"/>
        </w:rPr>
      </w:pPr>
      <w:r w:rsidRPr="00F255C6">
        <w:rPr>
          <w:rFonts w:ascii="Times New Roman" w:hAnsi="Times New Roman" w:cs="Times New Roman"/>
          <w:b/>
          <w:sz w:val="18"/>
          <w:szCs w:val="18"/>
          <w:u w:val="single" w:color="000000"/>
        </w:rPr>
        <w:t>Órgão não Participante</w:t>
      </w:r>
      <w:r w:rsidRPr="00F255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55C6">
        <w:rPr>
          <w:rFonts w:ascii="Times New Roman" w:hAnsi="Times New Roman" w:cs="Times New Roman"/>
          <w:sz w:val="18"/>
          <w:szCs w:val="18"/>
        </w:rPr>
        <w:t>–</w:t>
      </w:r>
      <w:r w:rsidRPr="00F255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55C6">
        <w:rPr>
          <w:rFonts w:ascii="Times New Roman" w:hAnsi="Times New Roman" w:cs="Times New Roman"/>
          <w:sz w:val="18"/>
          <w:szCs w:val="18"/>
        </w:rPr>
        <w:t>Órgão ou Entidade da Administração Pública que, não tendo participado dos procedimentos iniciais da licitação, atendidos os requisitos desta</w:t>
      </w:r>
      <w:r w:rsidRPr="00F255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55C6">
        <w:rPr>
          <w:rFonts w:ascii="Times New Roman" w:hAnsi="Times New Roman" w:cs="Times New Roman"/>
          <w:sz w:val="18"/>
          <w:szCs w:val="18"/>
        </w:rPr>
        <w:t>forma, faz adesão à Ata de Registro de Preços. (</w:t>
      </w:r>
      <w:r w:rsidR="003C5B62" w:rsidRPr="00F255C6">
        <w:rPr>
          <w:rFonts w:ascii="Times New Roman" w:hAnsi="Times New Roman" w:cs="Times New Roman"/>
          <w:sz w:val="18"/>
          <w:szCs w:val="18"/>
        </w:rPr>
        <w:t>a</w:t>
      </w:r>
      <w:r w:rsidR="007D31CB" w:rsidRPr="00F255C6">
        <w:rPr>
          <w:rFonts w:ascii="Times New Roman" w:hAnsi="Times New Roman" w:cs="Times New Roman"/>
          <w:sz w:val="18"/>
          <w:szCs w:val="18"/>
        </w:rPr>
        <w:t>rt.</w:t>
      </w:r>
      <w:r w:rsidRPr="00F255C6">
        <w:rPr>
          <w:rFonts w:ascii="Times New Roman" w:hAnsi="Times New Roman" w:cs="Times New Roman"/>
          <w:sz w:val="18"/>
          <w:szCs w:val="18"/>
        </w:rPr>
        <w:t xml:space="preserve"> 2º, V, do Decreto</w:t>
      </w:r>
      <w:r w:rsidR="003C5B62" w:rsidRPr="00F255C6">
        <w:rPr>
          <w:rFonts w:ascii="Times New Roman" w:hAnsi="Times New Roman" w:cs="Times New Roman"/>
          <w:sz w:val="18"/>
          <w:szCs w:val="18"/>
        </w:rPr>
        <w:t xml:space="preserve"> Estadual</w:t>
      </w:r>
      <w:r w:rsidRPr="00F255C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255C6">
        <w:rPr>
          <w:rFonts w:ascii="Times New Roman" w:hAnsi="Times New Roman" w:cs="Times New Roman"/>
          <w:sz w:val="18"/>
          <w:szCs w:val="18"/>
        </w:rPr>
        <w:t>nº</w:t>
      </w:r>
      <w:r w:rsidR="00E0398F" w:rsidRPr="00E0398F">
        <w:rPr>
          <w:rFonts w:ascii="Times New Roman" w:hAnsi="Times New Roman" w:cs="Times New Roman"/>
          <w:bCs/>
          <w:sz w:val="18"/>
          <w:szCs w:val="18"/>
        </w:rPr>
        <w:t>6.</w:t>
      </w:r>
      <w:proofErr w:type="gramEnd"/>
      <w:r w:rsidR="00E0398F" w:rsidRPr="00E0398F">
        <w:rPr>
          <w:rFonts w:ascii="Times New Roman" w:hAnsi="Times New Roman" w:cs="Times New Roman"/>
          <w:bCs/>
          <w:sz w:val="18"/>
          <w:szCs w:val="18"/>
        </w:rPr>
        <w:t>081/2020</w:t>
      </w:r>
      <w:r w:rsidRPr="00F255C6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A712C7" w:rsidRPr="00F255C6" w:rsidRDefault="00A712C7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075" w:type="dxa"/>
        <w:tblCellMar>
          <w:left w:w="98" w:type="dxa"/>
          <w:right w:w="5" w:type="dxa"/>
        </w:tblCellMar>
        <w:tblLook w:val="04A0"/>
      </w:tblPr>
      <w:tblGrid>
        <w:gridCol w:w="6405"/>
        <w:gridCol w:w="2670"/>
      </w:tblGrid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A712C7" w:rsidRPr="00F255C6" w:rsidRDefault="00961781">
            <w:pPr>
              <w:tabs>
                <w:tab w:val="right" w:pos="15181"/>
              </w:tabs>
              <w:spacing w:after="0"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Exigência para Auditoria/Fiscalização em </w:t>
            </w:r>
          </w:p>
          <w:p w:rsidR="00A712C7" w:rsidRPr="00F255C6" w:rsidRDefault="00961781">
            <w:pPr>
              <w:tabs>
                <w:tab w:val="right" w:pos="15181"/>
              </w:tabs>
              <w:spacing w:after="0"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b/>
                <w:sz w:val="18"/>
                <w:szCs w:val="18"/>
              </w:rPr>
              <w:t>Sistema de Registro de Preços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A712C7" w:rsidRPr="00F255C6" w:rsidRDefault="00961781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b/>
                <w:sz w:val="18"/>
                <w:szCs w:val="18"/>
              </w:rPr>
              <w:t>Observação da Fiscalização/Auditoria</w:t>
            </w:r>
          </w:p>
        </w:tc>
      </w:tr>
      <w:tr w:rsidR="00A712C7" w:rsidRPr="00F255C6" w:rsidTr="00514456">
        <w:trPr>
          <w:trHeight w:val="340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2C7" w:rsidRPr="00F255C6" w:rsidRDefault="00961781" w:rsidP="00514456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O Órgão Gerenciador oportunizou por correspondência eletrônica ou outro meio eficaz, aos demais órgãos e entidades da administração pública Estadual, a possibilidade de participação destes no certame? (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5º, I, do Decreto Estadual nº </w:t>
            </w:r>
            <w:r w:rsidR="00E0398F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6.081/2020</w:t>
            </w:r>
            <w:proofErr w:type="gramStart"/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064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4064" w:rsidRPr="00F255C6" w:rsidRDefault="00314064" w:rsidP="00514456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0398F">
              <w:rPr>
                <w:rFonts w:ascii="Times New Roman" w:hAnsi="Times New Roman" w:cs="Times New Roman"/>
                <w:sz w:val="18"/>
                <w:szCs w:val="18"/>
              </w:rPr>
              <w:t>Foi respeitado o prazo mínimo de oito dias para que outros órgãos e entidades manifestem interesse em participar de IRP, contados da data de divulgação da IRP no Diário Oficial do Estado? (Art. 4º, §1º do Decreto Estadual nº 6.081/20</w:t>
            </w:r>
            <w:r w:rsidR="00E0398F" w:rsidRPr="00E039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proofErr w:type="gramStart"/>
            <w:r w:rsidRPr="00E039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Start w:id="0" w:name="_GoBack"/>
            <w:bookmarkEnd w:id="0"/>
            <w:proofErr w:type="gramEnd"/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064" w:rsidRPr="00F255C6" w:rsidRDefault="00314064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Foi oportuna e conveniente a realização do Registro de Preços para aquisição do material, do bem ou do serviço contratado, conforme incentivos e programas específicos constantes no Plano Plurianual para o quadriênio e LDO?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O órgão ou entidade fiscalizado</w:t>
            </w:r>
            <w:r w:rsidR="00973F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(a) anexou aos autos, estimativa do impacto orçamentário-financeiro para o exercício e Declaração do Ordenador de que o projeto tem adequação orçamentária, quando não prevista tal despesa inicialmente na lei orçamentária, como exige LRF 101/2000, 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16, I e II e § 1º, II?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 w:rsidP="00E0398F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Constam documentos que comprovem a celeridade e eficiência da atuação do Órgão Gerenciador em observância ao 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5º, incisos II, IV, VI, do Decreto Estadual </w:t>
            </w:r>
            <w:proofErr w:type="gramStart"/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r w:rsidR="00E0398F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  <w:proofErr w:type="gramEnd"/>
            <w:r w:rsidR="00E0398F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081/2020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0380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40380" w:rsidRPr="00F255C6" w:rsidRDefault="00D40380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D40380">
              <w:rPr>
                <w:rFonts w:ascii="Times New Roman" w:hAnsi="Times New Roman" w:cs="Times New Roman"/>
                <w:sz w:val="18"/>
                <w:szCs w:val="18"/>
              </w:rPr>
              <w:t xml:space="preserve">O estudo técnico preliminar consta elaborado, de preferência, por técnico dotado de qualificação compatível com as especificações dos trabalhos a contratar ou bens a adquiri? (art. 3º, inc. VI do Decreto Federal nº </w:t>
            </w:r>
            <w:r w:rsidRPr="00D403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10.024/2019; art. 24 § 2º da IN/MPDG nº 05/2017 e art. 35 do Decreto de execução orçamentário-financeira nº 6.046/2020</w:t>
            </w:r>
            <w:proofErr w:type="gramStart"/>
            <w:r w:rsidRPr="00D4038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0380" w:rsidRPr="00F255C6" w:rsidRDefault="00D40380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 w:rsidP="00E0398F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 Termo de Referência foi elaborado com minucioso planejamento pela área técnica, constando os devidos quantitativos consolidados, com estabelecimento objetivo das regras a serem adotadas para o certame, norteando as futuras contratações pelos Órgãos e Entidades Participantes? (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5º, III e IV do Decreto </w:t>
            </w:r>
            <w:bookmarkStart w:id="1" w:name="__DdeLink__977_1092891371"/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Estadual nº </w:t>
            </w:r>
            <w:bookmarkEnd w:id="1"/>
            <w:r w:rsidR="00E0398F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6.081/2020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7º, § 5º e 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15, § 7º, I, da Lei 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Federal 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nº 8.666/93; </w:t>
            </w:r>
            <w:r w:rsidR="00D4038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3º, II, da Lei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Federal 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nº 10.520/02</w:t>
            </w:r>
            <w:r w:rsidR="00D40380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="00D40380" w:rsidRPr="00D40380">
              <w:rPr>
                <w:rFonts w:ascii="Times New Roman" w:hAnsi="Times New Roman" w:cs="Times New Roman"/>
                <w:sz w:val="18"/>
                <w:szCs w:val="18"/>
              </w:rPr>
              <w:t>arts</w:t>
            </w:r>
            <w:proofErr w:type="spellEnd"/>
            <w:r w:rsidR="00D40380" w:rsidRPr="00D40380">
              <w:rPr>
                <w:rFonts w:ascii="Times New Roman" w:hAnsi="Times New Roman" w:cs="Times New Roman"/>
                <w:sz w:val="18"/>
                <w:szCs w:val="18"/>
              </w:rPr>
              <w:t>. 27 e 35 do Decreto de execução orçamentário-financeira nº 6.046/2020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 w:rsidP="00E0398F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No que concerne à pesquisa de mercado, foram observadas as orientações do TCU constantes do item 1.5.1.2, TC-016.959/2007-5, Acórdão TCU nº 244/2009 – 2ª Câmara, como também o 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7º do Decreto Estadual nº </w:t>
            </w:r>
            <w:r w:rsidR="00E0398F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6.081/2020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, fazendo constar toda a documentação que deu suporte à formação do </w:t>
            </w:r>
            <w:r w:rsidRPr="00F255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mapa de apuração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com ampla</w:t>
            </w:r>
            <w:r w:rsidRPr="00F255C6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1"/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pesquisa de mercado, estimado pela área técnica? (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15, §1º da Lei 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Federal 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nº 8.666/93</w:t>
            </w:r>
            <w:proofErr w:type="gramStart"/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Quanto às estimativas de preços</w:t>
            </w:r>
            <w:r w:rsidR="00D40380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, encontram-se suficientemente fundamentadas e detalhadas, utilizando para isso, propostas obtidas junto a, no mínimo, três fornecedores, consoante reiterada jurisprudência da Egrégia Corte de Contas da União, a exemplo do Acórdão nº 3026/2010</w:t>
            </w:r>
            <w:r w:rsidR="000D3029" w:rsidRPr="00F255C6">
              <w:rPr>
                <w:rFonts w:ascii="Times New Roman" w:hAnsi="Times New Roman" w:cs="Times New Roman"/>
                <w:sz w:val="18"/>
                <w:szCs w:val="18"/>
              </w:rPr>
              <w:t>-TCU-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Plenário?</w:t>
            </w:r>
            <w:r w:rsidR="005843A2"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(Acórdão nº 4.013/2008-TCU-Plenário, Acórdão nº 1.547/2007-TCU-Plenário</w:t>
            </w:r>
            <w:proofErr w:type="gramStart"/>
            <w:r w:rsidR="005843A2" w:rsidRPr="00F255C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 w:rsidP="00E0398F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Foi respeitado o tipo menor preço, com julgamento por técnica e preço, considerando ainda a possibilidade de subdividir a quantidade total do item em lotes, se comprovado técnica e economicamente viável, a fim de possibilitar a competitividade como consta no 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23, §1º da Lei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Federal 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nº 8.666/93, c/c ao 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8º, caput do Decreto Estadual nº</w:t>
            </w:r>
            <w:r w:rsidR="00E039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398F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6.081/2020</w:t>
            </w:r>
            <w:proofErr w:type="gramStart"/>
            <w:r w:rsidR="00E0398F" w:rsidRPr="003A19CC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 xml:space="preserve"> </w:t>
            </w:r>
            <w:r w:rsidR="005512E6" w:rsidRPr="005512E6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 xml:space="preserve"> </w:t>
            </w:r>
            <w:proofErr w:type="gramEnd"/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e Súmula nº 247 do TCU?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 w:rsidTr="003B3B53">
        <w:trPr>
          <w:trHeight w:val="1465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Constam no Edital as exigências técnicas de qualificação, as quais devem ser justificadas em face do objeto a ser licitado, comprovando a capacidade técnica de forma específica, com avaliação realizada pela área técnica, tal qual preconiza o 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30, da LLCA, a fim de que as exigências formuladas não restrinjam à competitividade, mas que as mesmas enquadrem-se aos parâmetros legais, como disposto no Acórdão nº 470/2011–TCU–Plenário?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No Edital consta definida a documentação necessária para atender a regularidade para com a Fazenda Estadual e/ou Fazenda Municipal e também Trabalhista, de acordo com o objeto da licitação com breve consulta ao cadastro do CEIS e CNJ, embasada em recomendação do TCU, conforme itens 9.2.1.5 e 9.2.1.6 do Acórdão nº 1.793/2011</w:t>
            </w:r>
            <w:r w:rsidR="00950C4F" w:rsidRPr="00F255C6">
              <w:rPr>
                <w:rFonts w:ascii="Times New Roman" w:hAnsi="Times New Roman" w:cs="Times New Roman"/>
                <w:sz w:val="18"/>
                <w:szCs w:val="18"/>
              </w:rPr>
              <w:t>-TCU-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Plenário e 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29, da Lei </w:t>
            </w:r>
            <w:r w:rsidR="00950C4F"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Federal 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nº 8.666/93?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 w:rsidP="00E0398F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O Órgão Participante consultou previamente o Órgão Gerenciador a fim de obter a indicação dos fornecedores e dos quantitativos da ARP, como disposto no 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="00950C4F" w:rsidRPr="00F255C6">
              <w:rPr>
                <w:rFonts w:ascii="Times New Roman" w:hAnsi="Times New Roman" w:cs="Times New Roman"/>
                <w:sz w:val="18"/>
                <w:szCs w:val="18"/>
              </w:rPr>
              <w:t>º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do Decreto Estadual nº</w:t>
            </w:r>
            <w:r w:rsidR="00E039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398F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6.081/2020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O Órgão ou Entidade fiscalizado</w:t>
            </w:r>
            <w:r w:rsidR="00973F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(a) verificou a inexistência de outra ARP vigente, cujo preço do objeto contratado tenha sido registrado a menor?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 w:rsidP="00E0398F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Nos casos de ocorrência de descumprimento do pactuado na ata de registro de preços ou do descumprimento das obrigações contratuais, consta nos autos documento que comprove que o Órgão Participante informou as ocorrências ao Órgão Gerenciador? (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6º, § 1º do Decreto Estadual nº </w:t>
            </w:r>
            <w:r w:rsidR="00E0398F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6.081/2020</w:t>
            </w:r>
            <w:proofErr w:type="gramStart"/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 w:rsidP="00E0398F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O(s) contrato</w:t>
            </w:r>
            <w:r w:rsidR="00973F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(s) oriundo</w:t>
            </w:r>
            <w:r w:rsidR="00973F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(s) da ARP obedeceu</w:t>
            </w:r>
            <w:r w:rsidR="00973F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ram</w:t>
            </w:r>
            <w:proofErr w:type="spellEnd"/>
            <w:proofErr w:type="gramEnd"/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) o prazo e a validade da ata conforme instrui o 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12, §4º, do Decreto Estadual nº</w:t>
            </w:r>
            <w:r w:rsidR="00E039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398F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6.081/2020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O preço registrado sofreu alteração, tornando-se superior ao praticado no mercado? Em caso afirmativo: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 w:rsidP="00514456">
            <w:pPr>
              <w:pStyle w:val="PargrafodaLista"/>
              <w:numPr>
                <w:ilvl w:val="0"/>
                <w:numId w:val="3"/>
              </w:numPr>
              <w:tabs>
                <w:tab w:val="right" w:pos="15181"/>
              </w:tabs>
              <w:spacing w:after="0" w:line="276" w:lineRule="auto"/>
              <w:ind w:left="557" w:right="111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O Órgão Gerenciador convocou o fornecedor do bem ou prestador do serviço para negociação a fim de que o preço registrado fosse realinhado ao novo preço praticado no mercado, como recomenda o </w:t>
            </w:r>
            <w:r w:rsidRPr="00F255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“caput”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do 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18 do Decreto Estadual nº </w:t>
            </w:r>
            <w:r w:rsidR="00514456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6.081/</w:t>
            </w:r>
            <w:proofErr w:type="gramStart"/>
            <w:r w:rsidR="00514456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  <w:r w:rsidR="00514456" w:rsidRPr="003A19CC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 xml:space="preserve"> 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proofErr w:type="gramEnd"/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 w:rsidP="00514456">
            <w:pPr>
              <w:pStyle w:val="PargrafodaLista"/>
              <w:numPr>
                <w:ilvl w:val="0"/>
                <w:numId w:val="3"/>
              </w:numPr>
              <w:tabs>
                <w:tab w:val="right" w:pos="15181"/>
              </w:tabs>
              <w:spacing w:after="0" w:line="276" w:lineRule="auto"/>
              <w:ind w:left="557" w:right="111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Foi seguida a ordem de classificação dos fornecedores registrado originalmente da ARP, aqueles que aceitaram a reduzir seus preços aos valores de mercado? (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18, §2º do Decreto Estadual nº </w:t>
            </w:r>
            <w:r w:rsidR="00514456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6.081/2020</w:t>
            </w:r>
            <w:proofErr w:type="gramStart"/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Consta no Edital a previsibilidade de realinhamento dos preços registrados, os quais devem se coadunar com </w:t>
            </w:r>
            <w:proofErr w:type="gramStart"/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a LLCA como bem exarado no Acórdão</w:t>
            </w:r>
            <w:proofErr w:type="gramEnd"/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nº 3</w:t>
            </w:r>
            <w:r w:rsidR="00950C4F" w:rsidRPr="00F255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040/2008</w:t>
            </w:r>
            <w:r w:rsidR="00950C4F" w:rsidRPr="00F255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TCU</w:t>
            </w:r>
            <w:r w:rsidR="00950C4F" w:rsidRPr="00F255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Primeira Câmara e Acórdão nº 474/2005</w:t>
            </w:r>
            <w:r w:rsidR="00950C4F" w:rsidRPr="00F255C6">
              <w:rPr>
                <w:rFonts w:ascii="Times New Roman" w:hAnsi="Times New Roman" w:cs="Times New Roman"/>
                <w:sz w:val="18"/>
                <w:szCs w:val="18"/>
              </w:rPr>
              <w:t>-TCU-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Plenário?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>
        <w:trPr>
          <w:trHeight w:val="243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 w:rsidP="00514456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Quando da adesão por Órgão ou Entidades não Participantes, consta anexado aos autos justificativa da vantagem em pegar “carona”, com demonstrativo dos preços praticados no mercado, assim como diz o 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22, caput, do Decreto Estadual nº </w:t>
            </w:r>
            <w:r w:rsidR="00514456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6.081/2020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 w:rsidTr="00102469">
        <w:trPr>
          <w:trHeight w:val="640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 w:rsidP="00514456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Consta a anuência do Órgão Gerenciador quanto à possibilidade de o Órgão ou Entidade não Participante aderir a ARP, 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22, §1º do Decreto Estadual nº</w:t>
            </w:r>
            <w:r w:rsidR="0051445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14456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6.081/2020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 w:rsidTr="00102469">
        <w:trPr>
          <w:trHeight w:val="737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961781" w:rsidP="00514456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Houvera previsão no instrumento convocatório quanto à possibilidade de adesão de ARP por Órgão 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não participante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, como declarado no </w:t>
            </w:r>
            <w:r w:rsidR="003C5B62" w:rsidRPr="00F255C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D31CB" w:rsidRPr="00F255C6">
              <w:rPr>
                <w:rFonts w:ascii="Times New Roman" w:hAnsi="Times New Roman" w:cs="Times New Roman"/>
                <w:sz w:val="18"/>
                <w:szCs w:val="18"/>
              </w:rPr>
              <w:t>rt.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22, §4º do Decreto Estadual </w:t>
            </w:r>
            <w:proofErr w:type="gramStart"/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r w:rsidR="00514456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  <w:proofErr w:type="gramEnd"/>
            <w:r w:rsidR="00514456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081/2020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 w:rsidTr="00102469">
        <w:trPr>
          <w:trHeight w:val="974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8937DA" w:rsidP="00514456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O Órgão Gerenciador verificou o quantitativo utilizado dos itens pertencentes à ARP, a fim de que não seja excedido o </w:t>
            </w:r>
            <w:r w:rsidR="00CC6B4D" w:rsidRPr="0051445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dobro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do quantitativo de cada item inicialmente registrado, como bem determina o art. 22, §4 do Decreto Estadual nº </w:t>
            </w:r>
            <w:r w:rsidR="00514456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6.081/2020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="00961781"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 w:rsidTr="00102469">
        <w:trPr>
          <w:trHeight w:val="559"/>
        </w:trPr>
        <w:tc>
          <w:tcPr>
            <w:tcW w:w="640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712C7" w:rsidRPr="00F255C6" w:rsidRDefault="002157DE" w:rsidP="00514456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8937DA"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órgão Gerenciador autoriz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r w:rsidR="008937DA"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dentro do prazo de vigência da ata</w:t>
            </w:r>
            <w:r w:rsidR="00E05483" w:rsidRPr="00F255C6">
              <w:rPr>
                <w:rFonts w:ascii="Times New Roman" w:hAnsi="Times New Roman" w:cs="Times New Roman"/>
                <w:sz w:val="18"/>
                <w:szCs w:val="18"/>
              </w:rPr>
              <w:t>, a adesão do</w:t>
            </w:r>
            <w:r w:rsidR="008937DA"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Órgão Não Participante</w:t>
            </w:r>
            <w:r w:rsidR="00E05483" w:rsidRPr="00F255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="008937DA"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2FEE"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(art. 22, § 5º do Decreto Estadual nº </w:t>
            </w:r>
            <w:r w:rsidR="00514456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6.081/2020</w:t>
            </w:r>
            <w:proofErr w:type="gramStart"/>
            <w:r w:rsidR="00512FEE" w:rsidRPr="00F255C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67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4872" w:rsidRPr="00F255C6" w:rsidTr="00512FEE">
        <w:trPr>
          <w:trHeight w:val="243"/>
        </w:trPr>
        <w:tc>
          <w:tcPr>
            <w:tcW w:w="6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C4872" w:rsidRPr="00F255C6" w:rsidRDefault="002157DE" w:rsidP="00514456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O órgão não participante </w:t>
            </w:r>
            <w:r w:rsidR="00E05483"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efetivou a aquisição ou contratação em até 90 (noventa) dias </w:t>
            </w:r>
            <w:r w:rsidR="00512FEE" w:rsidRPr="00F255C6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05483"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a autorização da adesão? (art. 22, § 5º do Decreto Estadual </w:t>
            </w:r>
            <w:proofErr w:type="gramStart"/>
            <w:r w:rsidR="00E05483" w:rsidRPr="00F255C6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r w:rsidR="00514456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  <w:proofErr w:type="gramEnd"/>
            <w:r w:rsidR="00514456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081/2020</w:t>
            </w:r>
            <w:r w:rsidR="00E05483" w:rsidRPr="00F255C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4872" w:rsidRPr="00F255C6" w:rsidRDefault="00DC4872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57DE" w:rsidRPr="00F255C6">
        <w:trPr>
          <w:trHeight w:val="243"/>
        </w:trPr>
        <w:tc>
          <w:tcPr>
            <w:tcW w:w="640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157DE" w:rsidRPr="00F255C6" w:rsidRDefault="002157DE" w:rsidP="00514456">
            <w:pPr>
              <w:pStyle w:val="PargrafodaLista"/>
              <w:numPr>
                <w:ilvl w:val="0"/>
                <w:numId w:val="2"/>
              </w:numPr>
              <w:tabs>
                <w:tab w:val="right" w:pos="15181"/>
              </w:tabs>
              <w:spacing w:after="0" w:line="276" w:lineRule="auto"/>
              <w:ind w:left="557" w:right="111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O órgão gerenciador </w:t>
            </w:r>
            <w:r w:rsidR="00E05483"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tem controle dos 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>contrato</w:t>
            </w:r>
            <w:r w:rsidR="00E05483" w:rsidRPr="00F255C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5483" w:rsidRPr="00F255C6">
              <w:rPr>
                <w:rFonts w:ascii="Times New Roman" w:hAnsi="Times New Roman" w:cs="Times New Roman"/>
                <w:sz w:val="18"/>
                <w:szCs w:val="18"/>
              </w:rPr>
              <w:t xml:space="preserve">das atas aderidas pelo órgão não participante? (art. 22, § 5º do Decreto Estadual </w:t>
            </w:r>
            <w:proofErr w:type="gramStart"/>
            <w:r w:rsidR="00E05483" w:rsidRPr="00F255C6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r w:rsidR="00514456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  <w:proofErr w:type="gramEnd"/>
            <w:r w:rsidR="00514456" w:rsidRPr="00E0398F">
              <w:rPr>
                <w:rFonts w:ascii="Times New Roman" w:hAnsi="Times New Roman" w:cs="Times New Roman"/>
                <w:bCs/>
                <w:sz w:val="18"/>
                <w:szCs w:val="18"/>
              </w:rPr>
              <w:t>081/2020</w:t>
            </w:r>
            <w:r w:rsidR="00E05483" w:rsidRPr="00F255C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157DE" w:rsidRPr="00F255C6" w:rsidRDefault="002157D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12FEE" w:rsidRPr="00F255C6" w:rsidRDefault="00512FEE">
      <w:pPr>
        <w:spacing w:after="0" w:line="360" w:lineRule="auto"/>
        <w:ind w:left="19" w:right="0" w:firstLine="124"/>
        <w:rPr>
          <w:rFonts w:ascii="Times New Roman" w:hAnsi="Times New Roman" w:cs="Times New Roman"/>
          <w:b/>
          <w:sz w:val="18"/>
          <w:szCs w:val="18"/>
        </w:rPr>
      </w:pPr>
    </w:p>
    <w:p w:rsidR="00A712C7" w:rsidRPr="00F255C6" w:rsidRDefault="00961781">
      <w:pPr>
        <w:spacing w:after="0" w:line="360" w:lineRule="auto"/>
        <w:ind w:left="19" w:right="0" w:firstLine="124"/>
        <w:rPr>
          <w:rFonts w:ascii="Times New Roman" w:hAnsi="Times New Roman" w:cs="Times New Roman"/>
          <w:b/>
          <w:sz w:val="18"/>
          <w:szCs w:val="18"/>
        </w:rPr>
      </w:pPr>
      <w:r w:rsidRPr="00F255C6">
        <w:rPr>
          <w:rFonts w:ascii="Times New Roman" w:hAnsi="Times New Roman" w:cs="Times New Roman"/>
          <w:b/>
          <w:sz w:val="18"/>
          <w:szCs w:val="18"/>
        </w:rPr>
        <w:t>Apontamentos:</w:t>
      </w:r>
    </w:p>
    <w:tbl>
      <w:tblPr>
        <w:tblW w:w="5000" w:type="pct"/>
        <w:tblCellMar>
          <w:left w:w="113" w:type="dxa"/>
        </w:tblCellMar>
        <w:tblLook w:val="04A0"/>
      </w:tblPr>
      <w:tblGrid>
        <w:gridCol w:w="9292"/>
      </w:tblGrid>
      <w:tr w:rsidR="00A712C7" w:rsidRPr="00F255C6" w:rsidTr="00102469"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 w:rsidTr="00102469"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2C7" w:rsidRPr="00F255C6" w:rsidTr="00102469"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2C7" w:rsidRPr="00F255C6" w:rsidRDefault="00A712C7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2FEE" w:rsidRPr="00F255C6" w:rsidTr="00102469"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EE" w:rsidRPr="00F255C6" w:rsidRDefault="00512FEE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2FEE" w:rsidRPr="00F255C6" w:rsidTr="00102469"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EE" w:rsidRPr="00F255C6" w:rsidRDefault="00512FEE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2FEE" w:rsidRPr="00F255C6" w:rsidTr="00102469"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EE" w:rsidRPr="00F255C6" w:rsidRDefault="00512FEE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2FEE" w:rsidRPr="00F255C6" w:rsidTr="00102469"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EE" w:rsidRPr="00F255C6" w:rsidRDefault="00512FEE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2FEE" w:rsidRPr="00F255C6" w:rsidTr="00102469"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EE" w:rsidRPr="00F255C6" w:rsidRDefault="00512FEE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2FEE" w:rsidRPr="00F255C6" w:rsidTr="00102469"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EE" w:rsidRPr="00F255C6" w:rsidRDefault="00512FEE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712C7" w:rsidRDefault="00A712C7">
      <w:pPr>
        <w:spacing w:after="0" w:line="360" w:lineRule="auto"/>
        <w:ind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02469" w:rsidRPr="00F255C6" w:rsidRDefault="00102469" w:rsidP="00102469">
      <w:pPr>
        <w:spacing w:after="0" w:line="360" w:lineRule="auto"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F255C6">
        <w:rPr>
          <w:rFonts w:ascii="Times New Roman" w:hAnsi="Times New Roman" w:cs="Times New Roman"/>
          <w:b/>
          <w:sz w:val="18"/>
          <w:szCs w:val="18"/>
        </w:rPr>
        <w:t>Assinatura e Matrícula do Servidor</w:t>
      </w:r>
    </w:p>
    <w:sectPr w:rsidR="00102469" w:rsidRPr="00F255C6" w:rsidSect="00EC0508">
      <w:headerReference w:type="default" r:id="rId8"/>
      <w:pgSz w:w="11906" w:h="16838" w:code="9"/>
      <w:pgMar w:top="1701" w:right="1134" w:bottom="1134" w:left="1701" w:header="357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5BB" w:rsidRDefault="00FA05BB">
      <w:pPr>
        <w:spacing w:after="0" w:line="240" w:lineRule="auto"/>
      </w:pPr>
      <w:r>
        <w:separator/>
      </w:r>
    </w:p>
  </w:endnote>
  <w:endnote w:type="continuationSeparator" w:id="0">
    <w:p w:rsidR="00FA05BB" w:rsidRDefault="00FA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5BB" w:rsidRDefault="00FA05BB">
      <w:r>
        <w:separator/>
      </w:r>
    </w:p>
  </w:footnote>
  <w:footnote w:type="continuationSeparator" w:id="0">
    <w:p w:rsidR="00FA05BB" w:rsidRDefault="00FA05BB">
      <w:r>
        <w:continuationSeparator/>
      </w:r>
    </w:p>
  </w:footnote>
  <w:footnote w:id="1">
    <w:p w:rsidR="00A712C7" w:rsidRDefault="00961781">
      <w:pPr>
        <w:pStyle w:val="Textodenotaderodap"/>
      </w:pPr>
      <w:r>
        <w:rPr>
          <w:rStyle w:val="Caracteresdenotaderodap"/>
        </w:rPr>
        <w:footnoteRef/>
      </w:r>
      <w:r>
        <w:tab/>
        <w:t xml:space="preserve"> </w:t>
      </w:r>
      <w:r>
        <w:rPr>
          <w:rFonts w:ascii="Times New Roman" w:hAnsi="Times New Roman" w:cs="Times New Roman"/>
          <w:color w:val="auto"/>
          <w:sz w:val="16"/>
          <w:szCs w:val="16"/>
        </w:rPr>
        <w:t>Além de consultas aos fornecedores do ramo do objeto solicitado, devem ser realizadas pesquisas em outros órgãos e entidades da administração pública e aos sistemas de compras do governo, do Portal de Compras do Governo Federal (www.comprasnet.gov.br), dentre outros, as quais devem constar dos autos do correspondente processo. A mera comparação dos valores constantes na Ata com os obtidos junto a empresas consultadas na fase interna de licitação não é suficiente para configurar a vantajosidade da adesão, devendo o “Carona” se socorrer de outras fontes, a exemplo de licitações e contratos similares realizados no âmbito da Administração Pública (TCU, Acórdão nº 420/2018, Plenário).</w:t>
      </w:r>
    </w:p>
  </w:footnote>
  <w:footnote w:id="2">
    <w:p w:rsidR="00D40380" w:rsidRPr="003B3B53" w:rsidRDefault="00D40380" w:rsidP="003B3B53">
      <w:pPr>
        <w:pStyle w:val="Textodenotaderodap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="003B3B53">
        <w:t xml:space="preserve">    </w:t>
      </w:r>
      <w:r w:rsidRPr="003B3B53">
        <w:rPr>
          <w:rFonts w:ascii="Times New Roman" w:hAnsi="Times New Roman" w:cs="Times New Roman"/>
          <w:color w:val="auto"/>
          <w:sz w:val="16"/>
          <w:szCs w:val="16"/>
        </w:rPr>
        <w:t xml:space="preserve">Para despesa com recursos do estado o decreto orçamentário </w:t>
      </w:r>
      <w:r w:rsidR="003B3B53" w:rsidRPr="003B3B53">
        <w:rPr>
          <w:rFonts w:ascii="Times New Roman" w:hAnsi="Times New Roman" w:cs="Times New Roman"/>
          <w:color w:val="auto"/>
          <w:sz w:val="16"/>
          <w:szCs w:val="16"/>
        </w:rPr>
        <w:t xml:space="preserve">vigente </w:t>
      </w:r>
      <w:r w:rsidRPr="003B3B53">
        <w:rPr>
          <w:rFonts w:ascii="Times New Roman" w:hAnsi="Times New Roman" w:cs="Times New Roman"/>
          <w:color w:val="auto"/>
          <w:sz w:val="16"/>
          <w:szCs w:val="16"/>
        </w:rPr>
        <w:t>nã</w:t>
      </w:r>
      <w:r w:rsidR="003B3B53" w:rsidRPr="003B3B53">
        <w:rPr>
          <w:rFonts w:ascii="Times New Roman" w:hAnsi="Times New Roman" w:cs="Times New Roman"/>
          <w:color w:val="auto"/>
          <w:sz w:val="16"/>
          <w:szCs w:val="16"/>
        </w:rPr>
        <w:t>o trouxe a obrigação de estimativa de valor d</w:t>
      </w:r>
      <w:r w:rsidRPr="003B3B53">
        <w:rPr>
          <w:rFonts w:ascii="Times New Roman" w:hAnsi="Times New Roman" w:cs="Times New Roman"/>
          <w:color w:val="auto"/>
          <w:sz w:val="16"/>
          <w:szCs w:val="16"/>
        </w:rPr>
        <w:t xml:space="preserve">o objeto no termo de referência, </w:t>
      </w:r>
      <w:r w:rsidR="003B3B53" w:rsidRPr="003B3B53">
        <w:rPr>
          <w:rFonts w:ascii="Times New Roman" w:hAnsi="Times New Roman" w:cs="Times New Roman"/>
          <w:color w:val="auto"/>
          <w:sz w:val="16"/>
          <w:szCs w:val="16"/>
        </w:rPr>
        <w:t xml:space="preserve">quando referir-se a despesa com recursos federal utilizar a obrigação no decreto federal 10.024/2019.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tblInd w:w="108" w:type="dxa"/>
      <w:tblLayout w:type="fixed"/>
      <w:tblLook w:val="04A0"/>
    </w:tblPr>
    <w:tblGrid>
      <w:gridCol w:w="5103"/>
      <w:gridCol w:w="4111"/>
    </w:tblGrid>
    <w:tr w:rsidR="00BE7EDA" w:rsidRPr="00BE7EDA" w:rsidTr="00EC0508">
      <w:tc>
        <w:tcPr>
          <w:tcW w:w="5103" w:type="dxa"/>
        </w:tcPr>
        <w:p w:rsidR="00BE7EDA" w:rsidRPr="00BE7EDA" w:rsidRDefault="00EC0508" w:rsidP="00BE7EDA">
          <w:pPr>
            <w:tabs>
              <w:tab w:val="center" w:pos="4252"/>
              <w:tab w:val="right" w:pos="8504"/>
            </w:tabs>
            <w:overflowPunct/>
            <w:spacing w:after="0" w:line="240" w:lineRule="auto"/>
            <w:ind w:left="0" w:right="0" w:firstLine="0"/>
            <w:rPr>
              <w:rFonts w:ascii="Calibri" w:eastAsia="Calibri" w:hAnsi="Calibri" w:cs="Times New Roman"/>
              <w:color w:val="auto"/>
              <w:sz w:val="22"/>
              <w:lang w:eastAsia="en-US"/>
            </w:rPr>
          </w:pPr>
          <w:r>
            <w:rPr>
              <w:rFonts w:ascii="Calibri" w:eastAsia="Calibri" w:hAnsi="Calibri" w:cs="Times New Roman"/>
              <w:noProof/>
              <w:color w:val="auto"/>
              <w:sz w:val="22"/>
            </w:rPr>
            <w:ptab w:relativeTo="margin" w:alignment="center" w:leader="none"/>
          </w:r>
          <w:r w:rsidR="00BE7EDA" w:rsidRPr="00BE7EDA">
            <w:rPr>
              <w:rFonts w:ascii="Calibri" w:eastAsia="Calibri" w:hAnsi="Calibri" w:cs="Times New Roman"/>
              <w:noProof/>
              <w:color w:val="auto"/>
              <w:sz w:val="22"/>
            </w:rPr>
            <w:drawing>
              <wp:inline distT="0" distB="0" distL="0" distR="0">
                <wp:extent cx="3038475" cy="714375"/>
                <wp:effectExtent l="19050" t="0" r="9525" b="0"/>
                <wp:docPr id="2" name="Imagem 2" descr="NOVA LOGO CGE 2019 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A LOGO CGE 2019 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8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:rsidR="00BE7EDA" w:rsidRPr="00D858AC" w:rsidRDefault="00BE7EDA" w:rsidP="00EC0508">
          <w:pPr>
            <w:tabs>
              <w:tab w:val="center" w:pos="4252"/>
              <w:tab w:val="right" w:pos="8504"/>
            </w:tabs>
            <w:overflowPunct/>
            <w:spacing w:after="0" w:line="240" w:lineRule="auto"/>
            <w:ind w:left="34" w:right="0" w:firstLine="0"/>
            <w:jc w:val="left"/>
            <w:rPr>
              <w:rFonts w:asciiTheme="minorHAnsi" w:eastAsia="Calibri" w:hAnsiTheme="minorHAnsi" w:cs="Times New Roman"/>
              <w:color w:val="0F243E"/>
              <w:sz w:val="18"/>
              <w:szCs w:val="18"/>
              <w:lang w:eastAsia="en-US"/>
            </w:rPr>
          </w:pPr>
          <w:r w:rsidRPr="00D858AC">
            <w:rPr>
              <w:rFonts w:asciiTheme="minorHAnsi" w:eastAsia="Times New Roman" w:hAnsiTheme="minorHAnsi"/>
              <w:bCs/>
              <w:color w:val="0F243E"/>
              <w:sz w:val="18"/>
              <w:szCs w:val="18"/>
            </w:rPr>
            <w:t>Praça dos Girassóis, Esplanada das Secretarias. S/N</w:t>
          </w:r>
          <w:r w:rsidRPr="00D858AC">
            <w:rPr>
              <w:rFonts w:asciiTheme="minorHAnsi" w:eastAsia="Calibri" w:hAnsiTheme="minorHAnsi" w:cs="Times New Roman"/>
              <w:color w:val="0F243E"/>
              <w:sz w:val="18"/>
              <w:szCs w:val="18"/>
              <w:lang w:eastAsia="en-US"/>
            </w:rPr>
            <w:t xml:space="preserve"> </w:t>
          </w:r>
        </w:p>
        <w:p w:rsidR="00BE7EDA" w:rsidRPr="00D858AC" w:rsidRDefault="00BE7EDA" w:rsidP="00EC0508">
          <w:pPr>
            <w:tabs>
              <w:tab w:val="center" w:pos="4252"/>
              <w:tab w:val="right" w:pos="8504"/>
            </w:tabs>
            <w:overflowPunct/>
            <w:spacing w:after="0" w:line="240" w:lineRule="auto"/>
            <w:ind w:left="34" w:right="0" w:firstLine="0"/>
            <w:jc w:val="left"/>
            <w:rPr>
              <w:rFonts w:asciiTheme="minorHAnsi" w:eastAsia="Calibri" w:hAnsiTheme="minorHAnsi" w:cs="Times New Roman"/>
              <w:color w:val="0F243E"/>
              <w:sz w:val="14"/>
              <w:szCs w:val="18"/>
              <w:lang w:eastAsia="en-US"/>
            </w:rPr>
          </w:pPr>
          <w:r w:rsidRPr="00D858AC">
            <w:rPr>
              <w:rFonts w:asciiTheme="minorHAnsi" w:eastAsia="Calibri" w:hAnsiTheme="minorHAnsi" w:cs="Times New Roman"/>
              <w:color w:val="0F243E"/>
              <w:sz w:val="18"/>
              <w:lang w:eastAsia="en-US"/>
            </w:rPr>
            <w:t>Av. NS-02, Prédio I, s/nº. Plano Diretor Norte</w:t>
          </w:r>
        </w:p>
        <w:p w:rsidR="00BE7EDA" w:rsidRPr="00D858AC" w:rsidRDefault="00BE7EDA" w:rsidP="00EC0508">
          <w:pPr>
            <w:tabs>
              <w:tab w:val="center" w:pos="4252"/>
              <w:tab w:val="right" w:pos="8504"/>
            </w:tabs>
            <w:overflowPunct/>
            <w:spacing w:after="0" w:line="240" w:lineRule="auto"/>
            <w:ind w:left="34" w:right="0" w:firstLine="0"/>
            <w:jc w:val="left"/>
            <w:rPr>
              <w:rFonts w:asciiTheme="minorHAnsi" w:eastAsia="Calibri" w:hAnsiTheme="minorHAnsi" w:cs="Times New Roman"/>
              <w:color w:val="0F243E"/>
              <w:sz w:val="18"/>
              <w:szCs w:val="18"/>
              <w:lang w:eastAsia="en-US"/>
            </w:rPr>
          </w:pPr>
          <w:r w:rsidRPr="00D858AC">
            <w:rPr>
              <w:rFonts w:asciiTheme="minorHAnsi" w:eastAsia="Calibri" w:hAnsiTheme="minorHAnsi" w:cs="Times New Roman"/>
              <w:color w:val="0F243E"/>
              <w:sz w:val="18"/>
              <w:szCs w:val="18"/>
              <w:lang w:eastAsia="en-US"/>
            </w:rPr>
            <w:t>Palmas – Tocantins – CEP: 77.001-002</w:t>
          </w:r>
        </w:p>
        <w:p w:rsidR="00BE7EDA" w:rsidRPr="00BE7EDA" w:rsidRDefault="00BE7EDA" w:rsidP="00EC0508">
          <w:pPr>
            <w:tabs>
              <w:tab w:val="center" w:pos="4252"/>
              <w:tab w:val="right" w:pos="8504"/>
            </w:tabs>
            <w:overflowPunct/>
            <w:spacing w:after="0" w:line="240" w:lineRule="auto"/>
            <w:ind w:left="34" w:right="0" w:firstLine="0"/>
            <w:jc w:val="left"/>
            <w:rPr>
              <w:rFonts w:ascii="Calibri" w:eastAsia="Calibri" w:hAnsi="Calibri" w:cs="Times New Roman"/>
              <w:color w:val="auto"/>
              <w:sz w:val="22"/>
              <w:lang w:eastAsia="en-US"/>
            </w:rPr>
          </w:pPr>
          <w:proofErr w:type="spellStart"/>
          <w:r w:rsidRPr="00D858AC">
            <w:rPr>
              <w:rFonts w:asciiTheme="minorHAnsi" w:eastAsia="Calibri" w:hAnsiTheme="minorHAnsi" w:cs="Times New Roman"/>
              <w:color w:val="0F243E"/>
              <w:sz w:val="18"/>
              <w:szCs w:val="18"/>
              <w:lang w:eastAsia="en-US"/>
            </w:rPr>
            <w:t>Tel</w:t>
          </w:r>
          <w:proofErr w:type="spellEnd"/>
          <w:r w:rsidRPr="00D858AC">
            <w:rPr>
              <w:rFonts w:asciiTheme="minorHAnsi" w:eastAsia="Calibri" w:hAnsiTheme="minorHAnsi" w:cs="Times New Roman"/>
              <w:color w:val="0F243E"/>
              <w:sz w:val="18"/>
              <w:szCs w:val="18"/>
              <w:lang w:eastAsia="en-US"/>
            </w:rPr>
            <w:t>: +55 63 3218-2563</w:t>
          </w:r>
          <w:r w:rsidRPr="00D858AC">
            <w:rPr>
              <w:rFonts w:asciiTheme="minorHAnsi" w:eastAsia="Calibri" w:hAnsiTheme="minorHAnsi" w:cs="Times New Roman"/>
              <w:color w:val="0F243E"/>
              <w:sz w:val="18"/>
              <w:szCs w:val="18"/>
              <w:lang w:eastAsia="en-US"/>
            </w:rPr>
            <w:br/>
            <w:t>www.cge.to.gov.br</w:t>
          </w:r>
        </w:p>
      </w:tc>
    </w:tr>
  </w:tbl>
  <w:p w:rsidR="00A712C7" w:rsidRDefault="00A712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A82"/>
    <w:multiLevelType w:val="multilevel"/>
    <w:tmpl w:val="05ECB2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045240"/>
    <w:multiLevelType w:val="multilevel"/>
    <w:tmpl w:val="2838612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/>
        <w:b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1107E"/>
    <w:multiLevelType w:val="multilevel"/>
    <w:tmpl w:val="B75823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03AAA"/>
    <w:multiLevelType w:val="multilevel"/>
    <w:tmpl w:val="9D28A4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12C7"/>
    <w:rsid w:val="00056D10"/>
    <w:rsid w:val="000D3029"/>
    <w:rsid w:val="00102469"/>
    <w:rsid w:val="00127683"/>
    <w:rsid w:val="00213DCE"/>
    <w:rsid w:val="002157DE"/>
    <w:rsid w:val="00314064"/>
    <w:rsid w:val="003A19CC"/>
    <w:rsid w:val="003B3B53"/>
    <w:rsid w:val="003C5B62"/>
    <w:rsid w:val="00512FEE"/>
    <w:rsid w:val="00514456"/>
    <w:rsid w:val="005512E6"/>
    <w:rsid w:val="005843A2"/>
    <w:rsid w:val="005E690E"/>
    <w:rsid w:val="0065367B"/>
    <w:rsid w:val="00736C15"/>
    <w:rsid w:val="007D31CB"/>
    <w:rsid w:val="008247EE"/>
    <w:rsid w:val="008937DA"/>
    <w:rsid w:val="008D032B"/>
    <w:rsid w:val="008F254B"/>
    <w:rsid w:val="00950C4F"/>
    <w:rsid w:val="00961781"/>
    <w:rsid w:val="00973F8B"/>
    <w:rsid w:val="009A173E"/>
    <w:rsid w:val="00A712C7"/>
    <w:rsid w:val="00BD6E76"/>
    <w:rsid w:val="00BE217B"/>
    <w:rsid w:val="00BE7EDA"/>
    <w:rsid w:val="00CC6B4D"/>
    <w:rsid w:val="00CC7B67"/>
    <w:rsid w:val="00D40380"/>
    <w:rsid w:val="00D858AC"/>
    <w:rsid w:val="00DC4872"/>
    <w:rsid w:val="00E0398F"/>
    <w:rsid w:val="00E05483"/>
    <w:rsid w:val="00EC0508"/>
    <w:rsid w:val="00F255C6"/>
    <w:rsid w:val="00F7406A"/>
    <w:rsid w:val="00FA05BB"/>
    <w:rsid w:val="00FE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ans CJK SC" w:hAnsi="Times New Roman" w:cs="Lohit Devanagari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06A"/>
    <w:pPr>
      <w:overflowPunct w:val="0"/>
      <w:spacing w:after="16" w:line="247" w:lineRule="auto"/>
      <w:ind w:left="10" w:right="8759" w:hanging="10"/>
      <w:jc w:val="both"/>
    </w:pPr>
    <w:rPr>
      <w:rFonts w:ascii="Arial" w:eastAsia="Arial" w:hAnsi="Arial" w:cs="Arial"/>
      <w:color w:val="000000"/>
      <w:kern w:val="0"/>
      <w:sz w:val="24"/>
      <w:szCs w:val="22"/>
      <w:lang w:eastAsia="pt-BR" w:bidi="ar-SA"/>
    </w:rPr>
  </w:style>
  <w:style w:type="paragraph" w:styleId="Ttulo1">
    <w:name w:val="heading 1"/>
    <w:basedOn w:val="Normal"/>
    <w:next w:val="Normal"/>
    <w:uiPriority w:val="9"/>
    <w:qFormat/>
    <w:rsid w:val="00F7406A"/>
    <w:pPr>
      <w:keepNext/>
      <w:keepLines/>
      <w:spacing w:after="0"/>
      <w:ind w:right="3"/>
      <w:jc w:val="center"/>
      <w:outlineLvl w:val="0"/>
    </w:pPr>
    <w:rPr>
      <w:b/>
      <w:sz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qFormat/>
    <w:rsid w:val="00F7406A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RodapChar">
    <w:name w:val="Rodapé Char"/>
    <w:basedOn w:val="Fontepargpadro"/>
    <w:qFormat/>
    <w:rsid w:val="00F7406A"/>
    <w:rPr>
      <w:rFonts w:ascii="Arial" w:eastAsia="Arial" w:hAnsi="Arial" w:cs="Arial"/>
      <w:color w:val="000000"/>
      <w:sz w:val="24"/>
    </w:rPr>
  </w:style>
  <w:style w:type="character" w:customStyle="1" w:styleId="LinkdaInternet">
    <w:name w:val="Link da Internet"/>
    <w:rsid w:val="00F7406A"/>
    <w:rPr>
      <w:color w:val="000080"/>
      <w:u w:val="single"/>
    </w:rPr>
  </w:style>
  <w:style w:type="character" w:customStyle="1" w:styleId="TextodebaloChar">
    <w:name w:val="Texto de balão Char"/>
    <w:basedOn w:val="Fontepargpadro"/>
    <w:qFormat/>
    <w:rsid w:val="00F7406A"/>
    <w:rPr>
      <w:rFonts w:ascii="Segoe UI" w:eastAsia="Arial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qFormat/>
    <w:rsid w:val="00F7406A"/>
    <w:rPr>
      <w:rFonts w:eastAsia="Calibri"/>
      <w:lang w:eastAsia="en-US"/>
    </w:rPr>
  </w:style>
  <w:style w:type="character" w:customStyle="1" w:styleId="Caracteresdenotaderodap">
    <w:name w:val="Caracteres de nota de rodapé"/>
    <w:qFormat/>
    <w:rsid w:val="00F7406A"/>
  </w:style>
  <w:style w:type="character" w:customStyle="1" w:styleId="Caracteresdenotadefim">
    <w:name w:val="Caracteres de nota de fim"/>
    <w:qFormat/>
    <w:rsid w:val="00F7406A"/>
  </w:style>
  <w:style w:type="character" w:customStyle="1" w:styleId="Linkdainternetvisitado">
    <w:name w:val="Link da internet visitado"/>
    <w:rsid w:val="00F7406A"/>
    <w:rPr>
      <w:color w:val="800000"/>
      <w:u w:val="single"/>
    </w:rPr>
  </w:style>
  <w:style w:type="character" w:customStyle="1" w:styleId="ncoradanotaderodap">
    <w:name w:val="Âncora da nota de rodapé"/>
    <w:rsid w:val="00F7406A"/>
    <w:rPr>
      <w:vertAlign w:val="superscript"/>
    </w:rPr>
  </w:style>
  <w:style w:type="character" w:customStyle="1" w:styleId="ncoradanotadefim">
    <w:name w:val="Âncora da nota de fim"/>
    <w:rsid w:val="00F7406A"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rsid w:val="00F7406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F7406A"/>
    <w:pPr>
      <w:spacing w:after="140" w:line="276" w:lineRule="auto"/>
    </w:pPr>
  </w:style>
  <w:style w:type="paragraph" w:styleId="Lista">
    <w:name w:val="List"/>
    <w:basedOn w:val="Corpodetexto"/>
    <w:rsid w:val="00F7406A"/>
    <w:rPr>
      <w:rFonts w:ascii="Times New Roman" w:hAnsi="Times New Roman" w:cs="Lohit Devanagari"/>
    </w:rPr>
  </w:style>
  <w:style w:type="paragraph" w:styleId="Legenda">
    <w:name w:val="caption"/>
    <w:basedOn w:val="Normal"/>
    <w:qFormat/>
    <w:rsid w:val="00F7406A"/>
    <w:pPr>
      <w:suppressLineNumbers/>
      <w:spacing w:before="120" w:after="120"/>
    </w:pPr>
    <w:rPr>
      <w:rFonts w:ascii="Times New Roman" w:hAnsi="Times New Roman" w:cs="Lohit Devanagari"/>
      <w:i/>
      <w:iCs/>
      <w:szCs w:val="24"/>
    </w:rPr>
  </w:style>
  <w:style w:type="paragraph" w:customStyle="1" w:styleId="ndice">
    <w:name w:val="Índice"/>
    <w:basedOn w:val="Normal"/>
    <w:qFormat/>
    <w:rsid w:val="00F7406A"/>
    <w:pPr>
      <w:suppressLineNumbers/>
    </w:pPr>
    <w:rPr>
      <w:rFonts w:ascii="Times New Roman" w:hAnsi="Times New Roman" w:cs="Lohit Devanagari"/>
    </w:rPr>
  </w:style>
  <w:style w:type="paragraph" w:customStyle="1" w:styleId="CabealhoeRodap">
    <w:name w:val="Cabeçalho e Rodapé"/>
    <w:basedOn w:val="Normal"/>
    <w:qFormat/>
    <w:rsid w:val="00F7406A"/>
  </w:style>
  <w:style w:type="paragraph" w:styleId="Rodap">
    <w:name w:val="footer"/>
    <w:basedOn w:val="Normal"/>
    <w:rsid w:val="00F7406A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qFormat/>
    <w:rsid w:val="00F7406A"/>
    <w:pPr>
      <w:ind w:left="720"/>
      <w:contextualSpacing/>
    </w:pPr>
  </w:style>
  <w:style w:type="paragraph" w:styleId="Cabealho">
    <w:name w:val="header"/>
    <w:basedOn w:val="Normal"/>
    <w:rsid w:val="00F7406A"/>
  </w:style>
  <w:style w:type="paragraph" w:styleId="Textodebalo">
    <w:name w:val="Balloon Text"/>
    <w:basedOn w:val="Normal"/>
    <w:qFormat/>
    <w:rsid w:val="00F740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rsid w:val="00F7406A"/>
    <w:pPr>
      <w:suppressLineNumbers/>
    </w:pPr>
  </w:style>
  <w:style w:type="paragraph" w:customStyle="1" w:styleId="Ttulodetabela">
    <w:name w:val="Título de tabela"/>
    <w:basedOn w:val="Contedodatabela"/>
    <w:qFormat/>
    <w:rsid w:val="00F7406A"/>
    <w:pPr>
      <w:jc w:val="center"/>
    </w:pPr>
    <w:rPr>
      <w:b/>
      <w:bCs/>
    </w:rPr>
  </w:style>
  <w:style w:type="paragraph" w:customStyle="1" w:styleId="Contedodalista">
    <w:name w:val="Conteúdo da lista"/>
    <w:basedOn w:val="Normal"/>
    <w:qFormat/>
    <w:rsid w:val="00F7406A"/>
    <w:pPr>
      <w:ind w:left="567" w:right="0"/>
    </w:pPr>
  </w:style>
  <w:style w:type="paragraph" w:styleId="Textodenotaderodap">
    <w:name w:val="footnote text"/>
    <w:basedOn w:val="Normal"/>
    <w:rsid w:val="00F7406A"/>
    <w:pPr>
      <w:suppressLineNumbers/>
      <w:ind w:left="339" w:right="0" w:hanging="339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03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" w:hAnsi="Times New Roman" w:cs="Lohit Devanagari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06A"/>
    <w:pPr>
      <w:overflowPunct w:val="0"/>
      <w:spacing w:after="16" w:line="247" w:lineRule="auto"/>
      <w:ind w:left="10" w:right="8759" w:hanging="10"/>
      <w:jc w:val="both"/>
    </w:pPr>
    <w:rPr>
      <w:rFonts w:ascii="Arial" w:eastAsia="Arial" w:hAnsi="Arial" w:cs="Arial"/>
      <w:color w:val="000000"/>
      <w:kern w:val="0"/>
      <w:sz w:val="24"/>
      <w:szCs w:val="22"/>
      <w:lang w:eastAsia="pt-BR" w:bidi="ar-SA"/>
    </w:rPr>
  </w:style>
  <w:style w:type="paragraph" w:styleId="Ttulo1">
    <w:name w:val="heading 1"/>
    <w:basedOn w:val="Normal"/>
    <w:next w:val="Normal"/>
    <w:uiPriority w:val="9"/>
    <w:qFormat/>
    <w:rsid w:val="00F7406A"/>
    <w:pPr>
      <w:keepNext/>
      <w:keepLines/>
      <w:spacing w:after="0"/>
      <w:ind w:right="3"/>
      <w:jc w:val="center"/>
      <w:outlineLvl w:val="0"/>
    </w:pPr>
    <w:rPr>
      <w:b/>
      <w:sz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qFormat/>
    <w:rsid w:val="00F7406A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RodapChar">
    <w:name w:val="Rodapé Char"/>
    <w:basedOn w:val="Fontepargpadro"/>
    <w:qFormat/>
    <w:rsid w:val="00F7406A"/>
    <w:rPr>
      <w:rFonts w:ascii="Arial" w:eastAsia="Arial" w:hAnsi="Arial" w:cs="Arial"/>
      <w:color w:val="000000"/>
      <w:sz w:val="24"/>
    </w:rPr>
  </w:style>
  <w:style w:type="character" w:customStyle="1" w:styleId="LinkdaInternet">
    <w:name w:val="Link da Internet"/>
    <w:rsid w:val="00F7406A"/>
    <w:rPr>
      <w:color w:val="000080"/>
      <w:u w:val="single"/>
    </w:rPr>
  </w:style>
  <w:style w:type="character" w:customStyle="1" w:styleId="TextodebaloChar">
    <w:name w:val="Texto de balão Char"/>
    <w:basedOn w:val="Fontepargpadro"/>
    <w:qFormat/>
    <w:rsid w:val="00F7406A"/>
    <w:rPr>
      <w:rFonts w:ascii="Segoe UI" w:eastAsia="Arial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qFormat/>
    <w:rsid w:val="00F7406A"/>
    <w:rPr>
      <w:rFonts w:eastAsia="Calibri"/>
      <w:lang w:eastAsia="en-US"/>
    </w:rPr>
  </w:style>
  <w:style w:type="character" w:customStyle="1" w:styleId="Caracteresdenotaderodap">
    <w:name w:val="Caracteres de nota de rodapé"/>
    <w:qFormat/>
    <w:rsid w:val="00F7406A"/>
  </w:style>
  <w:style w:type="character" w:customStyle="1" w:styleId="Caracteresdenotadefim">
    <w:name w:val="Caracteres de nota de fim"/>
    <w:qFormat/>
    <w:rsid w:val="00F7406A"/>
  </w:style>
  <w:style w:type="character" w:customStyle="1" w:styleId="Linkdainternetvisitado">
    <w:name w:val="Link da internet visitado"/>
    <w:rsid w:val="00F7406A"/>
    <w:rPr>
      <w:color w:val="800000"/>
      <w:u w:val="single"/>
    </w:rPr>
  </w:style>
  <w:style w:type="character" w:customStyle="1" w:styleId="ncoradanotaderodap">
    <w:name w:val="Âncora da nota de rodapé"/>
    <w:rsid w:val="00F7406A"/>
    <w:rPr>
      <w:vertAlign w:val="superscript"/>
    </w:rPr>
  </w:style>
  <w:style w:type="character" w:customStyle="1" w:styleId="ncoradanotadefim">
    <w:name w:val="Âncora da nota de fim"/>
    <w:rsid w:val="00F7406A"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rsid w:val="00F7406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F7406A"/>
    <w:pPr>
      <w:spacing w:after="140" w:line="276" w:lineRule="auto"/>
    </w:pPr>
  </w:style>
  <w:style w:type="paragraph" w:styleId="Lista">
    <w:name w:val="List"/>
    <w:basedOn w:val="Corpodetexto"/>
    <w:rsid w:val="00F7406A"/>
    <w:rPr>
      <w:rFonts w:ascii="Times New Roman" w:hAnsi="Times New Roman" w:cs="Lohit Devanagari"/>
    </w:rPr>
  </w:style>
  <w:style w:type="paragraph" w:styleId="Legenda">
    <w:name w:val="caption"/>
    <w:basedOn w:val="Normal"/>
    <w:qFormat/>
    <w:rsid w:val="00F7406A"/>
    <w:pPr>
      <w:suppressLineNumbers/>
      <w:spacing w:before="120" w:after="120"/>
    </w:pPr>
    <w:rPr>
      <w:rFonts w:ascii="Times New Roman" w:hAnsi="Times New Roman" w:cs="Lohit Devanagari"/>
      <w:i/>
      <w:iCs/>
      <w:szCs w:val="24"/>
    </w:rPr>
  </w:style>
  <w:style w:type="paragraph" w:customStyle="1" w:styleId="ndice">
    <w:name w:val="Índice"/>
    <w:basedOn w:val="Normal"/>
    <w:qFormat/>
    <w:rsid w:val="00F7406A"/>
    <w:pPr>
      <w:suppressLineNumbers/>
    </w:pPr>
    <w:rPr>
      <w:rFonts w:ascii="Times New Roman" w:hAnsi="Times New Roman" w:cs="Lohit Devanagari"/>
    </w:rPr>
  </w:style>
  <w:style w:type="paragraph" w:customStyle="1" w:styleId="CabealhoeRodap">
    <w:name w:val="Cabeçalho e Rodapé"/>
    <w:basedOn w:val="Normal"/>
    <w:qFormat/>
    <w:rsid w:val="00F7406A"/>
  </w:style>
  <w:style w:type="paragraph" w:styleId="Rodap">
    <w:name w:val="footer"/>
    <w:basedOn w:val="Normal"/>
    <w:rsid w:val="00F7406A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qFormat/>
    <w:rsid w:val="00F7406A"/>
    <w:pPr>
      <w:ind w:left="720"/>
      <w:contextualSpacing/>
    </w:pPr>
  </w:style>
  <w:style w:type="paragraph" w:styleId="Cabealho">
    <w:name w:val="header"/>
    <w:basedOn w:val="Normal"/>
    <w:rsid w:val="00F7406A"/>
  </w:style>
  <w:style w:type="paragraph" w:styleId="Textodebalo">
    <w:name w:val="Balloon Text"/>
    <w:basedOn w:val="Normal"/>
    <w:qFormat/>
    <w:rsid w:val="00F740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rsid w:val="00F7406A"/>
    <w:pPr>
      <w:suppressLineNumbers/>
    </w:pPr>
  </w:style>
  <w:style w:type="paragraph" w:customStyle="1" w:styleId="Ttulodetabela">
    <w:name w:val="Título de tabela"/>
    <w:basedOn w:val="Contedodatabela"/>
    <w:qFormat/>
    <w:rsid w:val="00F7406A"/>
    <w:pPr>
      <w:jc w:val="center"/>
    </w:pPr>
    <w:rPr>
      <w:b/>
      <w:bCs/>
    </w:rPr>
  </w:style>
  <w:style w:type="paragraph" w:customStyle="1" w:styleId="Contedodalista">
    <w:name w:val="Conteúdo da lista"/>
    <w:basedOn w:val="Normal"/>
    <w:qFormat/>
    <w:rsid w:val="00F7406A"/>
    <w:pPr>
      <w:ind w:left="567" w:right="0"/>
    </w:pPr>
  </w:style>
  <w:style w:type="paragraph" w:styleId="Textodenotaderodap">
    <w:name w:val="footnote text"/>
    <w:basedOn w:val="Normal"/>
    <w:rsid w:val="00F7406A"/>
    <w:pPr>
      <w:suppressLineNumbers/>
      <w:ind w:left="339" w:right="0" w:hanging="339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03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40DE6-9CC0-424C-A021-8523EB55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1339</Words>
  <Characters>7234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Veralúcia Rodrigues Barros</dc:creator>
  <cp:lastModifiedBy>Adelvy</cp:lastModifiedBy>
  <cp:revision>5</cp:revision>
  <dcterms:created xsi:type="dcterms:W3CDTF">2020-04-15T15:15:00Z</dcterms:created>
  <dcterms:modified xsi:type="dcterms:W3CDTF">2020-04-22T21:59:00Z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