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F118FB" w:rsidRDefault="00F118FB"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8FB" w:rsidRPr="002B167E" w:rsidRDefault="00F118FB"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8FB" w:rsidRPr="007A2646" w:rsidRDefault="00F118FB"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F118FB" w:rsidRDefault="00F118FB"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8FB" w:rsidRPr="002B167E" w:rsidRDefault="00F118FB"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8FB" w:rsidRPr="007A2646" w:rsidRDefault="00F118FB"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0B6C533A" w14:textId="6627DCFF" w:rsidR="00632229" w:rsidRDefault="00472C6E" w:rsidP="00632229">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r w:rsidR="00632229" w:rsidRPr="0024417F">
        <w:rPr>
          <w:rFonts w:asciiTheme="minorHAnsi" w:hAnsiTheme="minorHAnsi" w:cstheme="minorHAnsi"/>
          <w:u w:val="single"/>
          <w:lang w:val="pt-BR"/>
        </w:rPr>
        <w:t xml:space="preserve"> </w:t>
      </w:r>
    </w:p>
    <w:p w14:paraId="6F4B5FEB" w14:textId="54907A93" w:rsidR="00632229" w:rsidRPr="0024417F" w:rsidRDefault="00632229" w:rsidP="00632229">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5A618300" w14:textId="45BB2AED" w:rsidR="00472C6E" w:rsidRPr="0024417F" w:rsidRDefault="00632229" w:rsidP="00632229">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2"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386A918D" w14:textId="77777777" w:rsidR="00632229" w:rsidRDefault="00632229" w:rsidP="00414B73">
      <w:pPr>
        <w:spacing w:before="120"/>
        <w:rPr>
          <w:rFonts w:asciiTheme="minorHAnsi" w:hAnsiTheme="minorHAnsi" w:cstheme="minorHAnsi"/>
          <w:lang w:val="pt-BR"/>
        </w:rPr>
      </w:pPr>
    </w:p>
    <w:p w14:paraId="69EB6D51" w14:textId="40FF407C"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F118FB">
        <w:rPr>
          <w:rFonts w:asciiTheme="minorHAnsi" w:hAnsiTheme="minorHAnsi" w:cstheme="minorHAnsi"/>
          <w:u w:val="single"/>
          <w:lang w:val="pt-BR"/>
        </w:rPr>
        <w:t>31</w:t>
      </w:r>
      <w:r w:rsidR="00F118FB"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F118FB">
        <w:rPr>
          <w:rFonts w:asciiTheme="minorHAnsi" w:hAnsiTheme="minorHAnsi" w:cstheme="minorHAnsi"/>
          <w:u w:val="single"/>
          <w:lang w:val="pt-BR"/>
        </w:rPr>
        <w:t>07</w:t>
      </w:r>
      <w:r w:rsidR="00F118FB"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344232CD"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976A74">
              <w:rPr>
                <w:rFonts w:cs="Arial"/>
                <w:color w:val="222222"/>
                <w:sz w:val="20"/>
                <w:szCs w:val="20"/>
                <w:shd w:val="clear" w:color="auto" w:fill="FFFFFF"/>
              </w:rPr>
              <w:t>Paraíso</w:t>
            </w:r>
            <w:r w:rsidR="000A31BD" w:rsidRPr="00DD2792">
              <w:rPr>
                <w:rFonts w:cs="Arial"/>
                <w:color w:val="222222"/>
                <w:sz w:val="20"/>
                <w:szCs w:val="20"/>
                <w:shd w:val="clear" w:color="auto" w:fill="FFFFFF"/>
              </w:rPr>
              <w:t xml:space="preserve"> -TO</w:t>
            </w:r>
          </w:p>
          <w:p w14:paraId="03A3CA84" w14:textId="66CE2251" w:rsidR="00AB2D5A" w:rsidRPr="0024417F" w:rsidRDefault="00AB2D5A" w:rsidP="00976A74">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C25D53">
              <w:rPr>
                <w:rFonts w:asciiTheme="minorHAnsi" w:hAnsiTheme="minorHAnsi" w:cstheme="minorHAnsi"/>
                <w:bCs/>
                <w:lang w:val="pt-BR" w:eastAsia="pt-BR"/>
              </w:rPr>
              <w:t>Escola</w:t>
            </w:r>
            <w:r w:rsidR="008F6D11" w:rsidRPr="00EC2028">
              <w:rPr>
                <w:rFonts w:asciiTheme="minorHAnsi" w:hAnsiTheme="minorHAnsi" w:cstheme="minorHAnsi"/>
                <w:bCs/>
                <w:lang w:val="pt-BR" w:eastAsia="pt-BR"/>
              </w:rPr>
              <w:t xml:space="preserve"> Estadual </w:t>
            </w:r>
            <w:r w:rsidR="00976A74">
              <w:rPr>
                <w:rFonts w:asciiTheme="minorHAnsi" w:hAnsiTheme="minorHAnsi" w:cstheme="minorHAnsi"/>
                <w:bCs/>
                <w:lang w:val="pt-BR" w:eastAsia="pt-BR"/>
              </w:rPr>
              <w:t>Juscelino Kubitschek de Oliveira</w:t>
            </w:r>
            <w:r w:rsidR="00C25D53">
              <w:rPr>
                <w:rFonts w:asciiTheme="minorHAnsi" w:hAnsiTheme="minorHAnsi" w:cstheme="minorHAnsi"/>
                <w:bCs/>
                <w:lang w:val="pt-BR" w:eastAsia="pt-BR"/>
              </w:rPr>
              <w:t>.</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028F4251"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DC4CC3">
              <w:rPr>
                <w:rFonts w:asciiTheme="minorHAnsi" w:hAnsiTheme="minorHAnsi" w:cstheme="minorHAnsi"/>
                <w:sz w:val="20"/>
                <w:szCs w:val="20"/>
              </w:rPr>
              <w:t>3.048,11</w:t>
            </w:r>
            <w:r w:rsidR="001258F5" w:rsidRPr="00C25D53">
              <w:rPr>
                <w:rFonts w:asciiTheme="minorHAnsi" w:hAnsiTheme="minorHAnsi" w:cstheme="minorHAnsi"/>
                <w:sz w:val="20"/>
                <w:szCs w:val="20"/>
              </w:rPr>
              <w:t>m</w:t>
            </w:r>
            <w:r w:rsidRPr="00976A74">
              <w:rPr>
                <w:rFonts w:asciiTheme="minorHAnsi" w:hAnsiTheme="minorHAnsi" w:cstheme="minorHAnsi"/>
                <w:sz w:val="20"/>
                <w:szCs w:val="20"/>
              </w:rPr>
              <w:t>²</w:t>
            </w:r>
          </w:p>
          <w:p w14:paraId="6EB4A66F" w14:textId="70FE7718"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Número de salas de aula: </w:t>
            </w:r>
            <w:r w:rsidR="000A31BD" w:rsidRPr="00976A74">
              <w:rPr>
                <w:rFonts w:asciiTheme="minorHAnsi" w:hAnsiTheme="minorHAnsi" w:cstheme="minorHAnsi"/>
                <w:sz w:val="20"/>
                <w:szCs w:val="20"/>
              </w:rPr>
              <w:t>0</w:t>
            </w:r>
            <w:r w:rsidR="00976A74" w:rsidRPr="00976A74">
              <w:rPr>
                <w:rFonts w:asciiTheme="minorHAnsi" w:hAnsiTheme="minorHAnsi" w:cstheme="minorHAnsi"/>
                <w:sz w:val="20"/>
                <w:szCs w:val="20"/>
              </w:rPr>
              <w:t>6</w:t>
            </w:r>
          </w:p>
          <w:p w14:paraId="2361E597" w14:textId="40C7CC06" w:rsidR="00F63023" w:rsidRPr="0024417F" w:rsidRDefault="008F6D11" w:rsidP="00976A74">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sidRPr="00976A74">
              <w:rPr>
                <w:rFonts w:asciiTheme="minorHAnsi" w:hAnsiTheme="minorHAnsi" w:cstheme="minorHAnsi"/>
                <w:sz w:val="20"/>
                <w:szCs w:val="20"/>
              </w:rPr>
              <w:t>2</w:t>
            </w:r>
            <w:r w:rsidR="00976A74" w:rsidRPr="00976A74">
              <w:rPr>
                <w:rFonts w:asciiTheme="minorHAnsi" w:hAnsiTheme="minorHAnsi" w:cstheme="minorHAnsi"/>
                <w:sz w:val="20"/>
                <w:szCs w:val="20"/>
              </w:rPr>
              <w:t>45</w:t>
            </w:r>
            <w:r w:rsidRPr="00976A74">
              <w:rPr>
                <w:rFonts w:asciiTheme="minorHAnsi" w:hAnsiTheme="minorHAnsi" w:cstheme="minorHAnsi"/>
                <w:sz w:val="20"/>
                <w:szCs w:val="20"/>
              </w:rPr>
              <w:t xml:space="preserve">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22E36520" w:rsidR="00F63023" w:rsidRPr="0024417F" w:rsidRDefault="00F63023" w:rsidP="005F7613">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F7613">
              <w:rPr>
                <w:rFonts w:asciiTheme="minorHAnsi" w:hAnsiTheme="minorHAnsi" w:cstheme="minorHAnsi"/>
                <w:b/>
                <w:bCs/>
                <w:lang w:val="pt-BR" w:eastAsia="pt-BR"/>
              </w:rPr>
              <w:t xml:space="preserve"> </w:t>
            </w:r>
            <w:r w:rsidR="005F7613" w:rsidRPr="005F7613">
              <w:rPr>
                <w:rFonts w:asciiTheme="minorHAnsi" w:hAnsiTheme="minorHAnsi" w:cstheme="minorHAnsi"/>
                <w:bCs/>
                <w:color w:val="376091"/>
                <w:lang w:val="pt-BR" w:eastAsia="pt-BR"/>
              </w:rPr>
              <w:t>Rua Hans de S</w:t>
            </w:r>
            <w:r w:rsidR="005F7613">
              <w:rPr>
                <w:rFonts w:asciiTheme="minorHAnsi" w:hAnsiTheme="minorHAnsi" w:cstheme="minorHAnsi"/>
                <w:bCs/>
                <w:color w:val="376091"/>
                <w:lang w:val="pt-BR" w:eastAsia="pt-BR"/>
              </w:rPr>
              <w:t>á</w:t>
            </w:r>
            <w:r w:rsidR="005F7613" w:rsidRPr="005F7613">
              <w:rPr>
                <w:rFonts w:asciiTheme="minorHAnsi" w:hAnsiTheme="minorHAnsi" w:cstheme="minorHAnsi"/>
                <w:bCs/>
                <w:color w:val="376091"/>
                <w:lang w:val="pt-BR" w:eastAsia="pt-BR"/>
              </w:rPr>
              <w:t xml:space="preserve">, 1.020, </w:t>
            </w:r>
            <w:hyperlink r:id="rId14" w:history="1">
              <w:r w:rsidR="005F7613" w:rsidRPr="005F7613">
                <w:rPr>
                  <w:rFonts w:asciiTheme="minorHAnsi" w:hAnsiTheme="minorHAnsi" w:cstheme="minorHAnsi"/>
                  <w:color w:val="376091"/>
                  <w:lang w:val="pt-BR" w:eastAsia="pt-BR"/>
                </w:rPr>
                <w:t>Serrano I</w:t>
              </w:r>
            </w:hyperlink>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1B599CD5"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F118FB">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4374890A" w:rsidR="00165FF1" w:rsidRPr="0024417F" w:rsidRDefault="002C4198" w:rsidP="001258F5">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a </w:t>
            </w:r>
            <w:r w:rsidR="00AB26C4" w:rsidRPr="00AB26C4">
              <w:rPr>
                <w:rFonts w:asciiTheme="minorHAnsi" w:hAnsiTheme="minorHAnsi" w:cstheme="minorHAnsi"/>
                <w:bCs/>
                <w:color w:val="376091"/>
                <w:lang w:val="pt-BR" w:eastAsia="pt-BR"/>
              </w:rPr>
              <w:t>Escola Estadual Juscelino Kubitschek de Oliveira</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736962D3" w:rsidR="00F63023" w:rsidRPr="001258F5" w:rsidRDefault="00F45277"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245</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D27169"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7F295E08" w:rsidR="00156818" w:rsidRPr="001258F5" w:rsidRDefault="00C25D53" w:rsidP="00FB7834">
            <w:pPr>
              <w:jc w:val="center"/>
              <w:rPr>
                <w:rFonts w:asciiTheme="minorHAnsi" w:hAnsiTheme="minorHAnsi" w:cstheme="minorHAnsi"/>
                <w:bCs/>
                <w:i/>
                <w:iCs/>
                <w:lang w:val="pt-BR" w:eastAsia="pt-BR"/>
              </w:rPr>
            </w:pPr>
            <w:r w:rsidRPr="00C25D53">
              <w:rPr>
                <w:rFonts w:asciiTheme="minorHAnsi" w:hAnsiTheme="minorHAnsi" w:cstheme="minorHAnsi"/>
                <w:bCs/>
                <w:iCs/>
                <w:lang w:val="pt-BR" w:eastAsia="pt-BR"/>
              </w:rPr>
              <w:t>1.</w:t>
            </w:r>
            <w:r w:rsidR="00FB7834">
              <w:rPr>
                <w:rFonts w:asciiTheme="minorHAnsi" w:hAnsiTheme="minorHAnsi" w:cstheme="minorHAnsi"/>
                <w:bCs/>
                <w:iCs/>
                <w:lang w:val="pt-BR" w:eastAsia="pt-BR"/>
              </w:rPr>
              <w:t>136</w:t>
            </w:r>
            <w:r w:rsidRPr="00C25D53">
              <w:rPr>
                <w:rFonts w:asciiTheme="minorHAnsi" w:hAnsiTheme="minorHAnsi" w:cstheme="minorHAnsi"/>
                <w:bCs/>
                <w:iCs/>
                <w:lang w:val="pt-BR" w:eastAsia="pt-BR"/>
              </w:rPr>
              <w:t>,</w:t>
            </w:r>
            <w:r w:rsidR="00FB7834">
              <w:rPr>
                <w:rFonts w:asciiTheme="minorHAnsi" w:hAnsiTheme="minorHAnsi" w:cstheme="minorHAnsi"/>
                <w:bCs/>
                <w:iCs/>
                <w:lang w:val="pt-BR" w:eastAsia="pt-BR"/>
              </w:rPr>
              <w:t>3</w:t>
            </w:r>
            <w:r w:rsidRPr="00C25D53">
              <w:rPr>
                <w:rFonts w:asciiTheme="minorHAnsi" w:hAnsiTheme="minorHAnsi" w:cstheme="minorHAnsi"/>
                <w:bCs/>
                <w:iCs/>
                <w:lang w:val="pt-BR" w:eastAsia="pt-BR"/>
              </w:rPr>
              <w:t>8</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727D7532" w:rsidR="003C52C7" w:rsidRPr="0024417F" w:rsidRDefault="00FB7834" w:rsidP="000A31BD">
            <w:pPr>
              <w:jc w:val="center"/>
              <w:rPr>
                <w:rFonts w:asciiTheme="minorHAnsi" w:hAnsiTheme="minorHAnsi" w:cstheme="minorHAnsi"/>
                <w:color w:val="000000"/>
                <w:lang w:val="pt-BR" w:eastAsia="pt-BR"/>
              </w:rPr>
            </w:pPr>
            <w:r>
              <w:rPr>
                <w:rFonts w:asciiTheme="minorHAnsi" w:hAnsiTheme="minorHAnsi" w:cstheme="minorHAnsi"/>
                <w:color w:val="000000"/>
                <w:lang w:val="pt-BR" w:eastAsia="pt-BR"/>
              </w:rPr>
              <w:t>m²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63BECEDC" w:rsidR="003C52C7" w:rsidRPr="001258F5" w:rsidRDefault="00F45277" w:rsidP="001258F5">
            <w:pPr>
              <w:jc w:val="center"/>
              <w:rPr>
                <w:rFonts w:asciiTheme="minorHAnsi" w:hAnsiTheme="minorHAnsi" w:cstheme="minorHAnsi"/>
              </w:rPr>
            </w:pPr>
            <w:r>
              <w:rPr>
                <w:rFonts w:asciiTheme="minorHAnsi" w:hAnsiTheme="minorHAnsi" w:cstheme="minorHAnsi"/>
                <w:bCs/>
                <w:iCs/>
                <w:lang w:val="pt-BR" w:eastAsia="pt-BR"/>
              </w:rPr>
              <w:t>4.830,50</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7959EF">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7959EF">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7959EF">
            <w:pPr>
              <w:jc w:val="center"/>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94393A8" w:rsidR="00165FF1" w:rsidRPr="0024417F" w:rsidRDefault="00156818" w:rsidP="007959EF">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7959EF">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7959EF">
            <w:pPr>
              <w:jc w:val="center"/>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57E24B4E"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F45277">
        <w:rPr>
          <w:rFonts w:asciiTheme="minorHAnsi" w:hAnsiTheme="minorHAnsi"/>
          <w:color w:val="000000" w:themeColor="text1"/>
          <w:u w:val="single"/>
          <w:lang w:val="pt-BR"/>
        </w:rPr>
        <w:t>Paraíso</w:t>
      </w:r>
      <w:r>
        <w:rPr>
          <w:rFonts w:asciiTheme="minorHAnsi" w:hAnsiTheme="minorHAnsi"/>
          <w:color w:val="000000" w:themeColor="text1"/>
          <w:u w:val="single"/>
          <w:lang w:val="pt-BR"/>
        </w:rPr>
        <w:t xml:space="preserve">, havendo no seu </w:t>
      </w:r>
      <w:r w:rsidR="00632229">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3A617657" w14:textId="7AF6206C" w:rsidR="00632229" w:rsidRDefault="00632229" w:rsidP="00EB755F">
            <w:pPr>
              <w:jc w:val="both"/>
              <w:rPr>
                <w:rFonts w:ascii="Times New Roman" w:hAnsi="Times New Roman"/>
                <w:sz w:val="24"/>
                <w:szCs w:val="24"/>
                <w:lang w:val="pt-BR" w:eastAsia="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6F5AB0">
              <w:rPr>
                <w:rFonts w:asciiTheme="minorHAnsi" w:hAnsiTheme="minorHAnsi"/>
                <w:lang w:val="pt-BR"/>
              </w:rPr>
              <w:t>As aulas e o funcionamento da unidade escolar poderão ser transferidos para outra edificação fora do local original.</w:t>
            </w:r>
          </w:p>
          <w:p w14:paraId="11C45FFF" w14:textId="625EAB18" w:rsidR="009F5EE4" w:rsidRPr="00FC0368" w:rsidRDefault="009F5EE4" w:rsidP="009F5EE4">
            <w:pPr>
              <w:jc w:val="both"/>
              <w:rPr>
                <w:rFonts w:asciiTheme="minorHAnsi" w:hAnsiTheme="minorHAnsi"/>
                <w:lang w:val="pt-BR"/>
              </w:rPr>
            </w:pP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64D694B4" w:rsidR="00F7646E" w:rsidRPr="0024417F" w:rsidRDefault="00F7646E" w:rsidP="00632229">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w:t>
            </w:r>
            <w:proofErr w:type="spellStart"/>
            <w:r w:rsidRPr="0024417F">
              <w:rPr>
                <w:rFonts w:asciiTheme="minorHAnsi" w:hAnsiTheme="minorHAnsi"/>
                <w:b/>
              </w:rPr>
              <w:t>não</w:t>
            </w:r>
            <w:proofErr w:type="spellEnd"/>
            <w:r w:rsidRPr="0024417F">
              <w:rPr>
                <w:rFonts w:asciiTheme="minorHAnsi" w:hAnsiTheme="minorHAnsi"/>
                <w:b/>
              </w:rPr>
              <w:t xml:space="preserve">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1713A731"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w:t>
            </w: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2A09511F" w:rsidR="00603172" w:rsidRPr="0024417F" w:rsidRDefault="00603172" w:rsidP="00F45277">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F45277">
              <w:rPr>
                <w:rFonts w:asciiTheme="minorHAnsi" w:hAnsiTheme="minorHAnsi"/>
                <w:lang w:val="pt-BR"/>
              </w:rPr>
              <w:t>Paraíso</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não</w:t>
            </w:r>
            <w:proofErr w:type="spellEnd"/>
            <w:r w:rsidRPr="0024417F">
              <w:rPr>
                <w:rFonts w:asciiTheme="minorHAnsi" w:hAnsiTheme="minorHAnsi"/>
              </w:rPr>
              <w:t xml:space="preserve">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w:t>
            </w:r>
            <w:proofErr w:type="spellStart"/>
            <w:r>
              <w:rPr>
                <w:rFonts w:asciiTheme="minorHAnsi" w:hAnsiTheme="minorHAnsi"/>
              </w:rPr>
              <w:t>não</w:t>
            </w:r>
            <w:proofErr w:type="spellEnd"/>
            <w:r>
              <w:rPr>
                <w:rFonts w:asciiTheme="minorHAnsi" w:hAnsiTheme="minorHAnsi"/>
              </w:rPr>
              <w:t xml:space="preserve">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1A4F0770" w14:textId="2EC84D64" w:rsidR="006716C7" w:rsidRDefault="00632229" w:rsidP="001B2499">
      <w:pPr>
        <w:spacing w:before="120"/>
        <w:rPr>
          <w:rFonts w:asciiTheme="minorHAnsi" w:hAnsiTheme="minorHAnsi" w:cs="Arial"/>
          <w:lang w:val="pt-BR"/>
        </w:rPr>
      </w:pPr>
      <w:r>
        <w:rPr>
          <w:rFonts w:asciiTheme="minorHAnsi" w:hAnsiTheme="minorHAnsi"/>
          <w:u w:val="single"/>
          <w:lang w:val="pt-BR"/>
        </w:rPr>
        <w:t>Não se aplica.</w:t>
      </w:r>
    </w:p>
    <w:p w14:paraId="64DD2129" w14:textId="136876C7" w:rsidR="001B2499" w:rsidRDefault="001B2499">
      <w:pPr>
        <w:rPr>
          <w:rFonts w:asciiTheme="minorHAnsi" w:hAnsiTheme="minorHAnsi" w:cs="Arial"/>
          <w:lang w:val="pt-BR"/>
        </w:rPr>
      </w:pPr>
      <w:r>
        <w:rPr>
          <w:rFonts w:asciiTheme="minorHAnsi" w:hAnsiTheme="minorHAnsi" w:cs="Arial"/>
          <w:lang w:val="pt-BR"/>
        </w:rPr>
        <w:br w:type="page"/>
      </w:r>
    </w:p>
    <w:p w14:paraId="29A15F0D"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4B55E558" w14:textId="2A35B6EC" w:rsidR="00632229" w:rsidRDefault="00632229" w:rsidP="001B2499">
      <w:pPr>
        <w:spacing w:before="120"/>
        <w:jc w:val="both"/>
        <w:rPr>
          <w:rFonts w:asciiTheme="minorHAnsi" w:hAnsiTheme="minorHAnsi"/>
          <w:u w:val="single"/>
          <w:lang w:val="pt-BR"/>
        </w:rPr>
      </w:pPr>
      <w:r>
        <w:rPr>
          <w:rFonts w:asciiTheme="minorHAnsi" w:hAnsiTheme="minorHAnsi"/>
          <w:u w:val="single"/>
          <w:lang w:val="pt-BR"/>
        </w:rPr>
        <w:t xml:space="preserve">A reforma e construção da Escola Estadual </w:t>
      </w:r>
      <w:r>
        <w:rPr>
          <w:rFonts w:asciiTheme="minorHAnsi" w:hAnsiTheme="minorHAnsi" w:cstheme="minorHAnsi"/>
          <w:bCs/>
          <w:u w:val="single"/>
          <w:lang w:val="pt-BR" w:eastAsia="pt-BR"/>
        </w:rPr>
        <w:t xml:space="preserve">Juscelino </w:t>
      </w:r>
      <w:r>
        <w:rPr>
          <w:rFonts w:asciiTheme="minorHAnsi" w:hAnsiTheme="minorHAnsi" w:cstheme="minorHAnsi"/>
          <w:bCs/>
          <w:lang w:val="pt-BR" w:eastAsia="pt-BR"/>
        </w:rPr>
        <w:t>Kubitschek de Oliveira</w:t>
      </w:r>
      <w:r>
        <w:rPr>
          <w:rFonts w:asciiTheme="minorHAnsi" w:hAnsiTheme="minorHAnsi"/>
          <w:u w:val="single"/>
          <w:lang w:val="pt-BR"/>
        </w:rPr>
        <w:t xml:space="preserve"> será em área já existente destinada especialmente para esse fim localizada na área urbana de Paraíso do </w:t>
      </w:r>
      <w:proofErr w:type="spellStart"/>
      <w:r>
        <w:rPr>
          <w:rFonts w:asciiTheme="minorHAnsi" w:hAnsiTheme="minorHAnsi"/>
          <w:u w:val="single"/>
          <w:lang w:val="pt-BR"/>
        </w:rPr>
        <w:t>Tocantins-TO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01F42EF3" w14:textId="77777777" w:rsidR="00632229" w:rsidRDefault="00632229" w:rsidP="00632229">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5"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6"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FB9D8ED" w14:textId="77777777" w:rsidR="00632229" w:rsidRDefault="00632229" w:rsidP="00632229">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7"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8"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7989D499" w14:textId="1F1C84C1" w:rsidR="00341C71" w:rsidRDefault="00632229" w:rsidP="00807B98">
      <w:pPr>
        <w:spacing w:before="120"/>
        <w:rPr>
          <w:rFonts w:asciiTheme="minorHAnsi" w:hAnsiTheme="minorHAnsi"/>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9"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20"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r w:rsidRPr="0024417F" w:rsidDel="00632229">
        <w:rPr>
          <w:rFonts w:asciiTheme="minorHAnsi" w:hAnsiTheme="minorHAnsi"/>
          <w:u w:val="single"/>
          <w:lang w:val="pt-BR"/>
        </w:rPr>
        <w:t xml:space="preserve"> </w:t>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42AACE1C"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2DB1E95B"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1D521217"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708CC183"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62E8B187"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5FDE9466" w:rsidR="003211B6" w:rsidRPr="0024417F" w:rsidRDefault="00632229" w:rsidP="002E4531">
            <w:pPr>
              <w:spacing w:before="120"/>
              <w:rPr>
                <w:rFonts w:asciiTheme="minorHAnsi" w:hAnsiTheme="minorHAnsi" w:cs="Arial"/>
              </w:rPr>
            </w:pPr>
            <w:r>
              <w:rPr>
                <w:rFonts w:asciiTheme="minorHAnsi" w:hAnsiTheme="minorHAnsi" w:cs="Arial"/>
              </w:rPr>
              <w:t>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3D5F7786" w:rsidR="003211B6" w:rsidRPr="0024417F" w:rsidRDefault="00632229"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53120C17" w:rsidR="003211B6" w:rsidRPr="00632229" w:rsidRDefault="00632229" w:rsidP="002E4531">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526C863A" w14:textId="77777777" w:rsidR="003211B6" w:rsidRDefault="003211B6" w:rsidP="009F5EE4">
            <w:pPr>
              <w:spacing w:before="120"/>
              <w:rPr>
                <w:rFonts w:asciiTheme="minorHAnsi" w:hAnsiTheme="minorHAnsi" w:cs="Arial"/>
              </w:rPr>
            </w:pPr>
          </w:p>
          <w:p w14:paraId="286640EE" w14:textId="77777777" w:rsidR="00632229" w:rsidRDefault="00632229" w:rsidP="009F5EE4">
            <w:pPr>
              <w:spacing w:before="120"/>
              <w:rPr>
                <w:rFonts w:asciiTheme="minorHAnsi" w:hAnsiTheme="minorHAnsi" w:cs="Arial"/>
              </w:rPr>
            </w:pPr>
          </w:p>
          <w:p w14:paraId="21880D7E" w14:textId="2060831E" w:rsidR="00632229" w:rsidRPr="0024417F" w:rsidRDefault="00632229"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333C8BF0" w:rsidR="003211B6" w:rsidRPr="0024417F" w:rsidRDefault="006F5AB0" w:rsidP="009F5EE4">
            <w:pPr>
              <w:jc w:val="center"/>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34D14FBA" w:rsidR="003211B6" w:rsidRPr="0024417F" w:rsidRDefault="006F5AB0"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1"/>
      <w:headerReference w:type="default" r:id="rId22"/>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F0F5" w14:textId="77777777" w:rsidR="002A7DAB" w:rsidRDefault="002A7DAB">
      <w:r>
        <w:separator/>
      </w:r>
    </w:p>
  </w:endnote>
  <w:endnote w:type="continuationSeparator" w:id="0">
    <w:p w14:paraId="13F843F2" w14:textId="77777777" w:rsidR="002A7DAB" w:rsidRDefault="002A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70B6" w14:textId="77777777" w:rsidR="002A7DAB" w:rsidRDefault="002A7DAB">
      <w:r>
        <w:separator/>
      </w:r>
    </w:p>
  </w:footnote>
  <w:footnote w:type="continuationSeparator" w:id="0">
    <w:p w14:paraId="3B2D3D3A" w14:textId="77777777" w:rsidR="002A7DAB" w:rsidRDefault="002A7DAB">
      <w:r>
        <w:continuationSeparator/>
      </w:r>
    </w:p>
  </w:footnote>
  <w:footnote w:id="1">
    <w:p w14:paraId="477912CC" w14:textId="77777777" w:rsidR="00F118FB" w:rsidRPr="00D014DC" w:rsidRDefault="00F118FB">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F118FB" w:rsidRPr="00F545DD" w:rsidRDefault="00F118FB">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F118FB" w:rsidRPr="00F545DD" w:rsidRDefault="00F118FB"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F118FB" w:rsidRPr="00E77D17" w:rsidRDefault="00F118FB"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F118FB" w:rsidRPr="00E77D17" w:rsidRDefault="00F118FB"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F118FB" w:rsidRPr="00E77D17" w:rsidRDefault="00F118FB"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C84" w14:textId="77777777" w:rsidR="00F118FB" w:rsidRDefault="00F118FB"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F118FB" w:rsidRDefault="00F118FB"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EF5" w14:textId="14AD7DFC" w:rsidR="00F118FB" w:rsidRDefault="00F118FB"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6717">
      <w:rPr>
        <w:rStyle w:val="Nmerodepgina"/>
        <w:noProof/>
      </w:rPr>
      <w:t>11</w:t>
    </w:r>
    <w:r>
      <w:rPr>
        <w:rStyle w:val="Nmerodepgina"/>
      </w:rPr>
      <w:fldChar w:fldCharType="end"/>
    </w:r>
  </w:p>
  <w:p w14:paraId="7E82BCE0" w14:textId="77777777" w:rsidR="00F118FB" w:rsidRDefault="00F118FB"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2734"/>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258F5"/>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B2499"/>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A7DAB"/>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09B"/>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B15DA"/>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E6500"/>
    <w:rsid w:val="005F0BC7"/>
    <w:rsid w:val="005F2F20"/>
    <w:rsid w:val="005F7613"/>
    <w:rsid w:val="00602A3C"/>
    <w:rsid w:val="00603172"/>
    <w:rsid w:val="00603E8B"/>
    <w:rsid w:val="0060555C"/>
    <w:rsid w:val="0061187D"/>
    <w:rsid w:val="0061388C"/>
    <w:rsid w:val="006226BD"/>
    <w:rsid w:val="00625DAF"/>
    <w:rsid w:val="0063068D"/>
    <w:rsid w:val="00632229"/>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6F5AB0"/>
    <w:rsid w:val="00703F9C"/>
    <w:rsid w:val="0070672A"/>
    <w:rsid w:val="0070693E"/>
    <w:rsid w:val="007169FF"/>
    <w:rsid w:val="007362D6"/>
    <w:rsid w:val="00740BEE"/>
    <w:rsid w:val="007420CC"/>
    <w:rsid w:val="00762EED"/>
    <w:rsid w:val="00781BC0"/>
    <w:rsid w:val="0078299E"/>
    <w:rsid w:val="007846E1"/>
    <w:rsid w:val="0078783B"/>
    <w:rsid w:val="00791114"/>
    <w:rsid w:val="007959EF"/>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227D"/>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6A74"/>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35E10"/>
    <w:rsid w:val="00A44324"/>
    <w:rsid w:val="00A515D1"/>
    <w:rsid w:val="00A5565A"/>
    <w:rsid w:val="00A72592"/>
    <w:rsid w:val="00A80E95"/>
    <w:rsid w:val="00A8100E"/>
    <w:rsid w:val="00A832CB"/>
    <w:rsid w:val="00A9560C"/>
    <w:rsid w:val="00AA34C2"/>
    <w:rsid w:val="00AB0E51"/>
    <w:rsid w:val="00AB149D"/>
    <w:rsid w:val="00AB26C4"/>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5D53"/>
    <w:rsid w:val="00C26B90"/>
    <w:rsid w:val="00C30222"/>
    <w:rsid w:val="00C355C4"/>
    <w:rsid w:val="00C35A15"/>
    <w:rsid w:val="00C40DF8"/>
    <w:rsid w:val="00C4312B"/>
    <w:rsid w:val="00C43E18"/>
    <w:rsid w:val="00C47912"/>
    <w:rsid w:val="00C5204E"/>
    <w:rsid w:val="00C52F60"/>
    <w:rsid w:val="00C57148"/>
    <w:rsid w:val="00C5737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1505E"/>
    <w:rsid w:val="00D2118B"/>
    <w:rsid w:val="00D21869"/>
    <w:rsid w:val="00D2527F"/>
    <w:rsid w:val="00D25F05"/>
    <w:rsid w:val="00D27169"/>
    <w:rsid w:val="00D32500"/>
    <w:rsid w:val="00D36717"/>
    <w:rsid w:val="00D36E95"/>
    <w:rsid w:val="00D50908"/>
    <w:rsid w:val="00D56A84"/>
    <w:rsid w:val="00D66C2C"/>
    <w:rsid w:val="00D806A5"/>
    <w:rsid w:val="00D81BC3"/>
    <w:rsid w:val="00D90EBE"/>
    <w:rsid w:val="00D9118E"/>
    <w:rsid w:val="00D947EC"/>
    <w:rsid w:val="00D94CBD"/>
    <w:rsid w:val="00D95675"/>
    <w:rsid w:val="00D962C3"/>
    <w:rsid w:val="00DA5A07"/>
    <w:rsid w:val="00DB0FE7"/>
    <w:rsid w:val="00DB13F1"/>
    <w:rsid w:val="00DC4CC3"/>
    <w:rsid w:val="00DC66AD"/>
    <w:rsid w:val="00DD4366"/>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3D40"/>
    <w:rsid w:val="00E966CF"/>
    <w:rsid w:val="00EA5242"/>
    <w:rsid w:val="00EB755F"/>
    <w:rsid w:val="00EB7769"/>
    <w:rsid w:val="00EC2028"/>
    <w:rsid w:val="00EC5FA2"/>
    <w:rsid w:val="00ED0701"/>
    <w:rsid w:val="00ED4CBA"/>
    <w:rsid w:val="00F06C89"/>
    <w:rsid w:val="00F07988"/>
    <w:rsid w:val="00F118FB"/>
    <w:rsid w:val="00F13958"/>
    <w:rsid w:val="00F214AE"/>
    <w:rsid w:val="00F21F52"/>
    <w:rsid w:val="00F239D1"/>
    <w:rsid w:val="00F3200B"/>
    <w:rsid w:val="00F360E0"/>
    <w:rsid w:val="00F37404"/>
    <w:rsid w:val="00F44DA6"/>
    <w:rsid w:val="00F45277"/>
    <w:rsid w:val="00F47571"/>
    <w:rsid w:val="00F47F24"/>
    <w:rsid w:val="00F545DD"/>
    <w:rsid w:val="00F56328"/>
    <w:rsid w:val="00F60163"/>
    <w:rsid w:val="00F616CD"/>
    <w:rsid w:val="00F63023"/>
    <w:rsid w:val="00F67D51"/>
    <w:rsid w:val="00F747EC"/>
    <w:rsid w:val="00F75E0F"/>
    <w:rsid w:val="00F7646E"/>
    <w:rsid w:val="00FB7834"/>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632229"/>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633">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719130311">
      <w:bodyDiv w:val="1"/>
      <w:marLeft w:val="0"/>
      <w:marRight w:val="0"/>
      <w:marTop w:val="0"/>
      <w:marBottom w:val="0"/>
      <w:divBdr>
        <w:top w:val="none" w:sz="0" w:space="0" w:color="auto"/>
        <w:left w:val="none" w:sz="0" w:space="0" w:color="auto"/>
        <w:bottom w:val="none" w:sz="0" w:space="0" w:color="auto"/>
        <w:right w:val="none" w:sz="0" w:space="0" w:color="auto"/>
      </w:divBdr>
    </w:div>
    <w:div w:id="734668337">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1090">
      <w:bodyDiv w:val="1"/>
      <w:marLeft w:val="0"/>
      <w:marRight w:val="0"/>
      <w:marTop w:val="0"/>
      <w:marBottom w:val="0"/>
      <w:divBdr>
        <w:top w:val="none" w:sz="0" w:space="0" w:color="auto"/>
        <w:left w:val="none" w:sz="0" w:space="0" w:color="auto"/>
        <w:bottom w:val="none" w:sz="0" w:space="0" w:color="auto"/>
        <w:right w:val="none" w:sz="0" w:space="0" w:color="auto"/>
      </w:divBdr>
    </w:div>
    <w:div w:id="1522817779">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seduc.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projetos@seduc.to.gov.br" TargetMode="External"/><Relationship Id="rId2" Type="http://schemas.openxmlformats.org/officeDocument/2006/relationships/numbering" Target="numbering.xml"/><Relationship Id="rId16" Type="http://schemas.openxmlformats.org/officeDocument/2006/relationships/hyperlink" Target="mailto:obras@seduc.to.gov.br" TargetMode="External"/><Relationship Id="rId20" Type="http://schemas.openxmlformats.org/officeDocument/2006/relationships/hyperlink" Target="mailto:obras@seduc.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delfonsoparente@seduc.to.gov.br" TargetMode="External"/><Relationship Id="rId23" Type="http://schemas.openxmlformats.org/officeDocument/2006/relationships/fontTable" Target="fontTable.xml"/><Relationship Id="rId10" Type="http://schemas.openxmlformats.org/officeDocument/2006/relationships/hyperlink" Target="mailto:obrasprojetos@seduc.to.gov.br" TargetMode="External"/><Relationship Id="rId19" Type="http://schemas.openxmlformats.org/officeDocument/2006/relationships/hyperlink" Target="mailto:obrasprojeto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http://www.escol.as/cidades/401-paraiso-do-tocantins/bairros/363922-serrano-i" TargetMode="External"/><Relationship Id="rId22"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A128-F604-453F-8913-3AFEBDA2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2637</Words>
  <Characters>14241</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2017-08-02T20:35:00Z</cp:lastPrinted>
  <dcterms:created xsi:type="dcterms:W3CDTF">2020-10-15T12:35:00Z</dcterms:created>
  <dcterms:modified xsi:type="dcterms:W3CDTF">2020-10-15T12:35:00Z</dcterms:modified>
</cp:coreProperties>
</file>